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89B" w:rsidRPr="00BD4734" w:rsidRDefault="004D7CAD" w:rsidP="00A3689B">
      <w:pPr>
        <w:pStyle w:val="Heading1"/>
        <w:rPr>
          <w:rFonts w:asciiTheme="minorHAnsi" w:hAnsiTheme="minorHAnsi" w:cstheme="minorHAnsi"/>
        </w:rPr>
      </w:pPr>
      <w:r>
        <w:rPr>
          <w:rFonts w:asciiTheme="minorHAnsi" w:hAnsiTheme="minorHAnsi" w:cstheme="minorHAnsi"/>
        </w:rPr>
        <w:t xml:space="preserve">Service Level Agreements – Example </w:t>
      </w:r>
      <w:r w:rsidR="00E121C9">
        <w:rPr>
          <w:rFonts w:asciiTheme="minorHAnsi" w:hAnsiTheme="minorHAnsi" w:cstheme="minorHAnsi"/>
        </w:rPr>
        <w:t>2</w:t>
      </w:r>
      <w:r w:rsidR="00B506E6">
        <w:rPr>
          <w:rFonts w:asciiTheme="minorHAnsi" w:hAnsiTheme="minorHAnsi" w:cstheme="minorHAnsi"/>
        </w:rPr>
        <w:t xml:space="preserve"> </w:t>
      </w:r>
    </w:p>
    <w:p w:rsidR="00B506E6" w:rsidRDefault="00B506E6" w:rsidP="004D7CAD">
      <w:pPr>
        <w:rPr>
          <w:rFonts w:cstheme="minorHAnsi"/>
        </w:rPr>
      </w:pPr>
      <w:r>
        <w:rPr>
          <w:rFonts w:cstheme="minorHAnsi"/>
        </w:rPr>
        <w:t xml:space="preserve">Review </w:t>
      </w:r>
      <w:r w:rsidR="004D7CAD">
        <w:rPr>
          <w:rFonts w:cstheme="minorHAnsi"/>
        </w:rPr>
        <w:t xml:space="preserve">the service level terms and discuss the questions listed below for each. All terms are taken from a “standard” service level agreement and terms represent all of what was included in that standard SLA. Remember to consider both what is in the SLA (and what expectation it sets) and what is missing and the implications of not defining standards. </w:t>
      </w:r>
    </w:p>
    <w:p w:rsidR="004D7CAD" w:rsidRDefault="004D7CAD" w:rsidP="004D7CAD">
      <w:pPr>
        <w:rPr>
          <w:rFonts w:cstheme="minorHAnsi"/>
        </w:rPr>
      </w:pPr>
      <w:r>
        <w:rPr>
          <w:rFonts w:cstheme="minorHAnsi"/>
        </w:rPr>
        <w:t>Each group will have a different SLA to discuss.</w:t>
      </w:r>
    </w:p>
    <w:p w:rsidR="004D7CAD" w:rsidRPr="00F67BBA" w:rsidRDefault="004D7CAD" w:rsidP="00F67BBA">
      <w:pPr>
        <w:pStyle w:val="Heading3"/>
      </w:pPr>
      <w:r>
        <w:t>Questions</w:t>
      </w:r>
    </w:p>
    <w:p w:rsidR="004D7CAD" w:rsidRDefault="004D7CAD" w:rsidP="004D7CAD">
      <w:r>
        <w:t xml:space="preserve">Discuss each question in your small group. If you would like to submit your answers, you can do so at </w:t>
      </w:r>
      <w:hyperlink r:id="rId8" w:history="1">
        <w:r w:rsidRPr="00DF72E7">
          <w:rPr>
            <w:rStyle w:val="Hyperlink"/>
          </w:rPr>
          <w:t>www.gfoa.org/poll</w:t>
        </w:r>
      </w:hyperlink>
      <w:r>
        <w:t xml:space="preserve"> </w:t>
      </w:r>
    </w:p>
    <w:p w:rsidR="004D7CAD" w:rsidRDefault="004D7CAD" w:rsidP="004D7CAD">
      <w:pPr>
        <w:pStyle w:val="ListParagraph"/>
        <w:numPr>
          <w:ilvl w:val="0"/>
          <w:numId w:val="18"/>
        </w:numPr>
      </w:pPr>
      <w:r>
        <w:t>What does the SLA do well?</w:t>
      </w:r>
    </w:p>
    <w:p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rsidTr="004D7CAD">
        <w:tc>
          <w:tcPr>
            <w:tcW w:w="9576" w:type="dxa"/>
          </w:tcPr>
          <w:p w:rsidR="004D7CAD" w:rsidRDefault="004D7CAD" w:rsidP="004D7CAD">
            <w:pPr>
              <w:rPr>
                <w:rFonts w:cstheme="minorHAnsi"/>
              </w:rPr>
            </w:pPr>
          </w:p>
          <w:p w:rsidR="004D7CAD" w:rsidRDefault="004D7CAD" w:rsidP="004D7CAD">
            <w:pPr>
              <w:rPr>
                <w:rFonts w:cstheme="minorHAnsi"/>
              </w:rPr>
            </w:pPr>
          </w:p>
          <w:p w:rsidR="004D7CAD" w:rsidRDefault="004D7CAD" w:rsidP="004D7CAD">
            <w:pPr>
              <w:rPr>
                <w:rFonts w:cstheme="minorHAnsi"/>
              </w:rPr>
            </w:pPr>
          </w:p>
          <w:p w:rsidR="004D7CAD" w:rsidRDefault="004D7CAD" w:rsidP="004D7CAD">
            <w:pPr>
              <w:rPr>
                <w:rFonts w:cstheme="minorHAnsi"/>
              </w:rPr>
            </w:pPr>
          </w:p>
        </w:tc>
      </w:tr>
    </w:tbl>
    <w:p w:rsidR="004D7CAD" w:rsidRPr="004D7CAD" w:rsidRDefault="004D7CAD" w:rsidP="004D7CAD">
      <w:pPr>
        <w:rPr>
          <w:rFonts w:cstheme="minorHAnsi"/>
        </w:rPr>
      </w:pPr>
    </w:p>
    <w:p w:rsidR="004D7CAD" w:rsidRDefault="004D7CAD" w:rsidP="004D7CAD">
      <w:pPr>
        <w:pStyle w:val="ListParagraph"/>
        <w:numPr>
          <w:ilvl w:val="0"/>
          <w:numId w:val="18"/>
        </w:numPr>
      </w:pPr>
      <w:r>
        <w:t xml:space="preserve">What in the SLA concerns you? </w:t>
      </w:r>
    </w:p>
    <w:p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rsidTr="001614A8">
        <w:tc>
          <w:tcPr>
            <w:tcW w:w="9576" w:type="dxa"/>
          </w:tcPr>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tc>
      </w:tr>
    </w:tbl>
    <w:p w:rsidR="004D7CAD" w:rsidRDefault="004D7CAD" w:rsidP="004D7CAD"/>
    <w:p w:rsidR="004D7CAD" w:rsidRDefault="004D7CAD" w:rsidP="004D7CAD">
      <w:pPr>
        <w:pStyle w:val="ListParagraph"/>
        <w:numPr>
          <w:ilvl w:val="0"/>
          <w:numId w:val="18"/>
        </w:numPr>
      </w:pPr>
      <w:r>
        <w:t>What is missing from the SLA?</w:t>
      </w:r>
    </w:p>
    <w:p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rsidTr="001614A8">
        <w:tc>
          <w:tcPr>
            <w:tcW w:w="9576" w:type="dxa"/>
          </w:tcPr>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tc>
      </w:tr>
    </w:tbl>
    <w:p w:rsidR="00D07843" w:rsidRDefault="00D07843" w:rsidP="004D7CAD">
      <w:pPr>
        <w:rPr>
          <w:rFonts w:eastAsiaTheme="majorEastAsia" w:cstheme="minorHAnsi"/>
          <w:b/>
          <w:bCs/>
          <w:color w:val="365F91" w:themeColor="accent1" w:themeShade="BF"/>
          <w:sz w:val="28"/>
          <w:szCs w:val="28"/>
        </w:rPr>
      </w:pPr>
    </w:p>
    <w:p w:rsidR="004D7CAD" w:rsidRDefault="004D7CAD" w:rsidP="004D7CAD">
      <w:pPr>
        <w:pStyle w:val="ListParagraph"/>
        <w:numPr>
          <w:ilvl w:val="0"/>
          <w:numId w:val="18"/>
        </w:numPr>
      </w:pPr>
      <w:r>
        <w:t>On a scale of 1 to 10 (1 = terrible and 10 = good), please rate the SLA</w:t>
      </w:r>
    </w:p>
    <w:p w:rsidR="004D7CAD" w:rsidRPr="004D7CAD" w:rsidRDefault="004D7CAD" w:rsidP="004D7CAD">
      <w:pPr>
        <w:pStyle w:val="ListParagraph"/>
      </w:pPr>
    </w:p>
    <w:tbl>
      <w:tblPr>
        <w:tblStyle w:val="TableGrid"/>
        <w:tblW w:w="0" w:type="auto"/>
        <w:tblLook w:val="04A0" w:firstRow="1" w:lastRow="0" w:firstColumn="1" w:lastColumn="0" w:noHBand="0" w:noVBand="1"/>
      </w:tblPr>
      <w:tblGrid>
        <w:gridCol w:w="9576"/>
      </w:tblGrid>
      <w:tr w:rsidR="004D7CAD" w:rsidTr="001614A8">
        <w:tc>
          <w:tcPr>
            <w:tcW w:w="9576" w:type="dxa"/>
          </w:tcPr>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p w:rsidR="004D7CAD" w:rsidRDefault="004D7CAD" w:rsidP="001614A8">
            <w:pPr>
              <w:rPr>
                <w:rFonts w:cstheme="minorHAnsi"/>
              </w:rPr>
            </w:pPr>
          </w:p>
        </w:tc>
      </w:tr>
    </w:tbl>
    <w:p w:rsidR="004D7CAD" w:rsidRPr="004D7CAD" w:rsidRDefault="004D7CAD" w:rsidP="004D7CAD">
      <w:pPr>
        <w:pStyle w:val="ListParagraph"/>
        <w:rPr>
          <w:rFonts w:eastAsiaTheme="majorEastAsia" w:cstheme="minorHAnsi"/>
          <w:b/>
          <w:bCs/>
          <w:color w:val="365F91" w:themeColor="accent1" w:themeShade="BF"/>
          <w:sz w:val="28"/>
          <w:szCs w:val="28"/>
        </w:rPr>
      </w:pPr>
    </w:p>
    <w:p w:rsidR="004D7CAD" w:rsidRDefault="004D7CAD" w:rsidP="004D7CAD">
      <w:pPr>
        <w:rPr>
          <w:rFonts w:eastAsiaTheme="majorEastAsia" w:cstheme="minorHAnsi"/>
          <w:b/>
          <w:bCs/>
          <w:color w:val="365F91" w:themeColor="accent1" w:themeShade="BF"/>
          <w:sz w:val="28"/>
          <w:szCs w:val="28"/>
        </w:rPr>
      </w:pPr>
    </w:p>
    <w:p w:rsidR="00F67BBA" w:rsidRDefault="00F67BBA" w:rsidP="004D7CAD">
      <w:pPr>
        <w:rPr>
          <w:rFonts w:eastAsiaTheme="majorEastAsia" w:cstheme="minorHAnsi"/>
          <w:b/>
          <w:bCs/>
          <w:color w:val="365F91" w:themeColor="accent1" w:themeShade="BF"/>
          <w:sz w:val="28"/>
          <w:szCs w:val="28"/>
        </w:rPr>
      </w:pPr>
      <w:r w:rsidRPr="00280728">
        <w:rPr>
          <w:rFonts w:eastAsiaTheme="majorEastAsia" w:cstheme="minorHAnsi"/>
          <w:b/>
          <w:bCs/>
          <w:color w:val="365F91" w:themeColor="accent1" w:themeShade="BF"/>
          <w:sz w:val="28"/>
          <w:szCs w:val="28"/>
        </w:rPr>
        <w:lastRenderedPageBreak/>
        <w:t xml:space="preserve">Example SLA </w:t>
      </w:r>
      <w:r w:rsidR="00E121C9" w:rsidRPr="00280728">
        <w:rPr>
          <w:rFonts w:eastAsiaTheme="majorEastAsia" w:cstheme="minorHAnsi"/>
          <w:b/>
          <w:bCs/>
          <w:color w:val="365F91" w:themeColor="accent1" w:themeShade="BF"/>
          <w:sz w:val="28"/>
          <w:szCs w:val="28"/>
        </w:rPr>
        <w:t>2</w:t>
      </w:r>
    </w:p>
    <w:p w:rsidR="00E121C9" w:rsidRDefault="00E121C9" w:rsidP="00E121C9">
      <w:pPr>
        <w:pStyle w:val="Heading3"/>
      </w:pPr>
      <w:r>
        <w:t>Uptime</w:t>
      </w:r>
    </w:p>
    <w:p w:rsidR="00E121C9" w:rsidRDefault="00E121C9" w:rsidP="00E121C9">
      <w:pPr>
        <w:pStyle w:val="BodyText"/>
        <w:ind w:right="98"/>
        <w:jc w:val="both"/>
      </w:pPr>
      <w:r>
        <w:t>The Quarterly Uptime Percentage for the Software Service will be ninety-nine and nine-tenths percent (99.9%) (the “</w:t>
      </w:r>
      <w:r>
        <w:rPr>
          <w:b/>
        </w:rPr>
        <w:t>Uptime Commitment</w:t>
      </w:r>
      <w:r>
        <w:t>”). Subject to the exclusions described</w:t>
      </w:r>
      <w:r>
        <w:rPr>
          <w:spacing w:val="-6"/>
        </w:rPr>
        <w:t xml:space="preserve"> </w:t>
      </w:r>
      <w:r>
        <w:rPr>
          <w:spacing w:val="-3"/>
        </w:rPr>
        <w:t xml:space="preserve">below, </w:t>
      </w:r>
      <w:r>
        <w:t>“</w:t>
      </w:r>
      <w:r>
        <w:rPr>
          <w:b/>
        </w:rPr>
        <w:t>Quarterly Uptime Percentage</w:t>
      </w:r>
      <w:r>
        <w:t>” is calculated by subtracting from 100% the percentage of 1-minute periods during any quarterly billing cycle  (i.e., 3 calendar months) in which the Software Services (are) Unavailable out of the total number of minutes in that quarterly billing cycle. “</w:t>
      </w:r>
      <w:r>
        <w:rPr>
          <w:b/>
        </w:rPr>
        <w:t>Unavailable</w:t>
      </w:r>
      <w:r>
        <w:t>” and “</w:t>
      </w:r>
      <w:r>
        <w:rPr>
          <w:b/>
        </w:rPr>
        <w:t>Unavailability</w:t>
      </w:r>
      <w:r>
        <w:t xml:space="preserve">” mean that, in any 1-minute period, </w:t>
      </w:r>
      <w:r>
        <w:rPr>
          <w:u w:val="thick"/>
        </w:rPr>
        <w:t xml:space="preserve">all </w:t>
      </w:r>
      <w:r>
        <w:t>connection requests received by the Software Services failed to process (each a “</w:t>
      </w:r>
      <w:r>
        <w:rPr>
          <w:b/>
        </w:rPr>
        <w:t>Failed Connection</w:t>
      </w:r>
      <w:r>
        <w:t xml:space="preserve">”); provided, however, that no Failed Connection will be counted as a part of more than one such 1-minute </w:t>
      </w:r>
      <w:r>
        <w:rPr>
          <w:spacing w:val="28"/>
        </w:rPr>
        <w:t xml:space="preserve"> </w:t>
      </w:r>
      <w:r>
        <w:t xml:space="preserve">period (e.g.   a   Failed   Connection   will   not   be   counted   for   the   period   12:00:00-12:00:59   </w:t>
      </w:r>
      <w:r>
        <w:rPr>
          <w:spacing w:val="-92"/>
          <w:u w:val="thick"/>
        </w:rPr>
        <w:t>a</w:t>
      </w:r>
      <w:r>
        <w:rPr>
          <w:spacing w:val="43"/>
          <w:u w:val="thick"/>
        </w:rPr>
        <w:t xml:space="preserve"> </w:t>
      </w:r>
      <w:r>
        <w:rPr>
          <w:u w:val="thick"/>
        </w:rPr>
        <w:t xml:space="preserve">nd   </w:t>
      </w:r>
      <w:r>
        <w:t>the   period 12:00:30-12:01:29). The Quarterly Uptime Percentage will be measured based on the industry standard monitoring tools that we use.</w:t>
      </w:r>
    </w:p>
    <w:p w:rsidR="00E121C9" w:rsidRDefault="00E121C9" w:rsidP="004D7CAD">
      <w:pPr>
        <w:rPr>
          <w:rFonts w:eastAsiaTheme="majorEastAsia" w:cstheme="minorHAnsi"/>
          <w:b/>
          <w:bCs/>
          <w:color w:val="365F91" w:themeColor="accent1" w:themeShade="BF"/>
          <w:sz w:val="28"/>
          <w:szCs w:val="28"/>
        </w:rPr>
      </w:pPr>
    </w:p>
    <w:p w:rsidR="00E121C9" w:rsidRDefault="00E121C9" w:rsidP="00E121C9">
      <w:pPr>
        <w:pStyle w:val="Heading3"/>
      </w:pPr>
      <w:r>
        <w:t>Exclusions</w:t>
      </w:r>
    </w:p>
    <w:p w:rsidR="00E121C9" w:rsidRPr="00810CFA" w:rsidRDefault="00E121C9" w:rsidP="00E121C9">
      <w:pPr>
        <w:pStyle w:val="BodyText"/>
        <w:ind w:right="109"/>
        <w:jc w:val="both"/>
      </w:pPr>
      <w:r w:rsidRPr="00810CFA">
        <w:t xml:space="preserve">Notwithstanding anything to the contrary in this exhibit, any Software Service Unavailability issues resulting from any of the following will be </w:t>
      </w:r>
      <w:r w:rsidRPr="00810CFA">
        <w:rPr>
          <w:u w:val="thick"/>
        </w:rPr>
        <w:t xml:space="preserve">excluded </w:t>
      </w:r>
      <w:r w:rsidRPr="00810CFA">
        <w:t>from calculation of Quarterly Uptime Percentage:</w:t>
      </w:r>
    </w:p>
    <w:p w:rsidR="00E121C9" w:rsidRPr="00810CFA" w:rsidRDefault="00E121C9" w:rsidP="00E121C9">
      <w:pPr>
        <w:pStyle w:val="ListParagraph"/>
        <w:widowControl w:val="0"/>
        <w:tabs>
          <w:tab w:val="left" w:pos="460"/>
        </w:tabs>
        <w:autoSpaceDE w:val="0"/>
        <w:autoSpaceDN w:val="0"/>
        <w:ind w:left="100" w:right="98"/>
        <w:rPr>
          <w:rFonts w:ascii="Times New Roman" w:hAnsi="Times New Roman" w:cs="Times New Roman"/>
          <w:sz w:val="21"/>
        </w:rPr>
      </w:pPr>
    </w:p>
    <w:p w:rsidR="00E121C9" w:rsidRPr="00810CFA" w:rsidRDefault="00E121C9" w:rsidP="00E121C9">
      <w:pPr>
        <w:pStyle w:val="ListParagraph"/>
        <w:widowControl w:val="0"/>
        <w:numPr>
          <w:ilvl w:val="2"/>
          <w:numId w:val="20"/>
        </w:numPr>
        <w:tabs>
          <w:tab w:val="left" w:pos="460"/>
        </w:tabs>
        <w:autoSpaceDE w:val="0"/>
        <w:autoSpaceDN w:val="0"/>
        <w:ind w:right="98" w:firstLine="0"/>
        <w:jc w:val="both"/>
        <w:rPr>
          <w:rFonts w:ascii="Times New Roman" w:hAnsi="Times New Roman" w:cs="Times New Roman"/>
          <w:sz w:val="21"/>
        </w:rPr>
      </w:pPr>
      <w:r w:rsidRPr="00810CFA">
        <w:rPr>
          <w:rFonts w:ascii="Times New Roman" w:hAnsi="Times New Roman" w:cs="Times New Roman"/>
          <w:sz w:val="21"/>
        </w:rPr>
        <w:t xml:space="preserve">Regularly scheduled maintenance of the Software Service that is communicated by VENDOR at least twenty-four (24) hours in advance via the Support Portal. </w:t>
      </w:r>
    </w:p>
    <w:p w:rsidR="00E121C9" w:rsidRPr="00810CFA" w:rsidRDefault="00E121C9" w:rsidP="00E121C9">
      <w:pPr>
        <w:pStyle w:val="ListParagraph"/>
        <w:widowControl w:val="0"/>
        <w:numPr>
          <w:ilvl w:val="2"/>
          <w:numId w:val="20"/>
        </w:numPr>
        <w:tabs>
          <w:tab w:val="left" w:pos="415"/>
        </w:tabs>
        <w:autoSpaceDE w:val="0"/>
        <w:autoSpaceDN w:val="0"/>
        <w:ind w:left="415" w:hanging="315"/>
        <w:jc w:val="both"/>
        <w:rPr>
          <w:rFonts w:ascii="Times New Roman" w:hAnsi="Times New Roman" w:cs="Times New Roman"/>
          <w:sz w:val="21"/>
        </w:rPr>
      </w:pPr>
      <w:r w:rsidRPr="00810CFA">
        <w:rPr>
          <w:rFonts w:ascii="Times New Roman" w:hAnsi="Times New Roman" w:cs="Times New Roman"/>
          <w:sz w:val="21"/>
        </w:rPr>
        <w:t>any issues with a third-party service to which Customer subscribes);</w:t>
      </w:r>
    </w:p>
    <w:p w:rsidR="00E121C9" w:rsidRPr="00810CFA" w:rsidRDefault="00E121C9" w:rsidP="00E121C9">
      <w:pPr>
        <w:pStyle w:val="ListParagraph"/>
        <w:widowControl w:val="0"/>
        <w:numPr>
          <w:ilvl w:val="2"/>
          <w:numId w:val="20"/>
        </w:numPr>
        <w:tabs>
          <w:tab w:val="left" w:pos="445"/>
        </w:tabs>
        <w:autoSpaceDE w:val="0"/>
        <w:autoSpaceDN w:val="0"/>
        <w:ind w:right="109" w:firstLine="0"/>
        <w:jc w:val="both"/>
        <w:rPr>
          <w:rFonts w:ascii="Times New Roman" w:hAnsi="Times New Roman" w:cs="Times New Roman"/>
          <w:sz w:val="21"/>
        </w:rPr>
      </w:pPr>
      <w:r w:rsidRPr="00810CFA">
        <w:rPr>
          <w:rFonts w:ascii="Times New Roman" w:hAnsi="Times New Roman" w:cs="Times New Roman"/>
          <w:sz w:val="21"/>
        </w:rPr>
        <w:t>any problems not caused by VENDOR that result from (a) computing or networking hardware, (b) other equipment or software under Customer’s control, (c) the Internet, or (d) other issues with electronic communications;</w:t>
      </w:r>
    </w:p>
    <w:p w:rsidR="00E121C9" w:rsidRPr="00810CFA" w:rsidRDefault="00E121C9" w:rsidP="00E121C9">
      <w:pPr>
        <w:pStyle w:val="ListParagraph"/>
        <w:widowControl w:val="0"/>
        <w:numPr>
          <w:ilvl w:val="2"/>
          <w:numId w:val="20"/>
        </w:numPr>
        <w:tabs>
          <w:tab w:val="left" w:pos="430"/>
        </w:tabs>
        <w:autoSpaceDE w:val="0"/>
        <w:autoSpaceDN w:val="0"/>
        <w:ind w:right="102" w:firstLine="0"/>
        <w:jc w:val="both"/>
        <w:rPr>
          <w:rFonts w:ascii="Times New Roman" w:hAnsi="Times New Roman" w:cs="Times New Roman"/>
          <w:sz w:val="21"/>
        </w:rPr>
      </w:pPr>
      <w:r w:rsidRPr="00810CFA">
        <w:rPr>
          <w:rFonts w:ascii="Times New Roman" w:hAnsi="Times New Roman" w:cs="Times New Roman"/>
          <w:sz w:val="21"/>
        </w:rPr>
        <w:t>VENDOR’s suspension or termination of the Software Service in accordance with the Agreement and/or its associated Order Form;</w:t>
      </w:r>
    </w:p>
    <w:p w:rsidR="00E121C9" w:rsidRPr="00810CFA" w:rsidRDefault="00E121C9" w:rsidP="00E121C9">
      <w:pPr>
        <w:pStyle w:val="ListParagraph"/>
        <w:widowControl w:val="0"/>
        <w:numPr>
          <w:ilvl w:val="2"/>
          <w:numId w:val="20"/>
        </w:numPr>
        <w:tabs>
          <w:tab w:val="left" w:pos="415"/>
        </w:tabs>
        <w:autoSpaceDE w:val="0"/>
        <w:autoSpaceDN w:val="0"/>
        <w:ind w:left="415" w:hanging="315"/>
        <w:jc w:val="both"/>
        <w:rPr>
          <w:rFonts w:ascii="Times New Roman" w:hAnsi="Times New Roman" w:cs="Times New Roman"/>
          <w:sz w:val="21"/>
        </w:rPr>
      </w:pPr>
      <w:r w:rsidRPr="00810CFA">
        <w:rPr>
          <w:rFonts w:ascii="Times New Roman" w:hAnsi="Times New Roman" w:cs="Times New Roman"/>
          <w:sz w:val="21"/>
        </w:rPr>
        <w:t>the Software Service is experiencing an unforeseeable amount of user requests from Customer;</w:t>
      </w:r>
    </w:p>
    <w:p w:rsidR="00E121C9" w:rsidRPr="00810CFA" w:rsidRDefault="00E121C9" w:rsidP="00E121C9">
      <w:pPr>
        <w:pStyle w:val="ListParagraph"/>
        <w:widowControl w:val="0"/>
        <w:numPr>
          <w:ilvl w:val="2"/>
          <w:numId w:val="20"/>
        </w:numPr>
        <w:tabs>
          <w:tab w:val="left" w:pos="415"/>
        </w:tabs>
        <w:autoSpaceDE w:val="0"/>
        <w:autoSpaceDN w:val="0"/>
        <w:ind w:left="415" w:hanging="315"/>
        <w:jc w:val="both"/>
        <w:rPr>
          <w:rFonts w:ascii="Times New Roman" w:hAnsi="Times New Roman" w:cs="Times New Roman"/>
          <w:sz w:val="21"/>
        </w:rPr>
      </w:pPr>
      <w:r w:rsidRPr="00810CFA">
        <w:rPr>
          <w:rFonts w:ascii="Times New Roman" w:hAnsi="Times New Roman" w:cs="Times New Roman"/>
          <w:sz w:val="21"/>
        </w:rPr>
        <w:t>software that has been subject to unauthorized modification by Customer;</w:t>
      </w:r>
    </w:p>
    <w:p w:rsidR="00E121C9" w:rsidRPr="00810CFA" w:rsidRDefault="00E121C9" w:rsidP="00E121C9">
      <w:pPr>
        <w:pStyle w:val="ListParagraph"/>
        <w:widowControl w:val="0"/>
        <w:numPr>
          <w:ilvl w:val="2"/>
          <w:numId w:val="20"/>
        </w:numPr>
        <w:tabs>
          <w:tab w:val="left" w:pos="415"/>
        </w:tabs>
        <w:autoSpaceDE w:val="0"/>
        <w:autoSpaceDN w:val="0"/>
        <w:ind w:left="415" w:hanging="315"/>
        <w:jc w:val="both"/>
        <w:rPr>
          <w:rFonts w:ascii="Times New Roman" w:hAnsi="Times New Roman" w:cs="Times New Roman"/>
          <w:sz w:val="21"/>
        </w:rPr>
      </w:pPr>
      <w:r w:rsidRPr="00810CFA">
        <w:rPr>
          <w:rFonts w:ascii="Times New Roman" w:hAnsi="Times New Roman" w:cs="Times New Roman"/>
          <w:sz w:val="21"/>
        </w:rPr>
        <w:t>negligent or intentional misuse of the Software Service by Customer; or</w:t>
      </w:r>
    </w:p>
    <w:p w:rsidR="00E121C9" w:rsidRPr="00810CFA" w:rsidRDefault="00E121C9" w:rsidP="00E121C9">
      <w:pPr>
        <w:pStyle w:val="ListParagraph"/>
        <w:widowControl w:val="0"/>
        <w:numPr>
          <w:ilvl w:val="2"/>
          <w:numId w:val="20"/>
        </w:numPr>
        <w:tabs>
          <w:tab w:val="left" w:pos="415"/>
        </w:tabs>
        <w:autoSpaceDE w:val="0"/>
        <w:autoSpaceDN w:val="0"/>
        <w:ind w:left="415" w:hanging="315"/>
        <w:jc w:val="both"/>
        <w:rPr>
          <w:rFonts w:ascii="Times New Roman" w:hAnsi="Times New Roman" w:cs="Times New Roman"/>
          <w:sz w:val="21"/>
        </w:rPr>
      </w:pPr>
      <w:r w:rsidRPr="00810CFA">
        <w:rPr>
          <w:rFonts w:ascii="Times New Roman" w:hAnsi="Times New Roman" w:cs="Times New Roman"/>
          <w:sz w:val="21"/>
        </w:rPr>
        <w:t>“Beta” or “limited availability” products, features and functions identified as such by</w:t>
      </w:r>
      <w:r w:rsidRPr="00810CFA">
        <w:rPr>
          <w:rFonts w:ascii="Times New Roman" w:hAnsi="Times New Roman" w:cs="Times New Roman"/>
          <w:spacing w:val="-14"/>
          <w:sz w:val="21"/>
        </w:rPr>
        <w:t xml:space="preserve"> </w:t>
      </w:r>
      <w:r w:rsidRPr="00810CFA">
        <w:rPr>
          <w:rFonts w:ascii="Times New Roman" w:hAnsi="Times New Roman" w:cs="Times New Roman"/>
          <w:sz w:val="21"/>
        </w:rPr>
        <w:t>VENDOR.</w:t>
      </w:r>
    </w:p>
    <w:p w:rsidR="00E121C9" w:rsidRPr="00810CFA" w:rsidRDefault="00E121C9" w:rsidP="00E121C9">
      <w:pPr>
        <w:pStyle w:val="BodyText"/>
        <w:ind w:left="100" w:right="101"/>
        <w:jc w:val="both"/>
      </w:pPr>
      <w:bookmarkStart w:id="0" w:name="_GoBack"/>
      <w:bookmarkEnd w:id="0"/>
    </w:p>
    <w:p w:rsidR="00E121C9" w:rsidRPr="00810CFA" w:rsidRDefault="00E121C9" w:rsidP="00810CFA">
      <w:pPr>
        <w:pStyle w:val="BodyText"/>
        <w:ind w:left="100" w:right="101"/>
        <w:jc w:val="both"/>
      </w:pPr>
      <w:r w:rsidRPr="00810CFA">
        <w:t>Customer may elect to use certain billable Professional Software Services to resolve issues associated with the excluded areas listed in this Subsection. Such Professional Software Services may require Customer to complete a network assessment, and/or give VENDOR access to Customer’s network, in order to diagnose the issue.</w:t>
      </w:r>
    </w:p>
    <w:p w:rsidR="006B4573" w:rsidRPr="006B4573" w:rsidRDefault="006B4573" w:rsidP="006B4573">
      <w:pPr>
        <w:pStyle w:val="Heading3"/>
      </w:pPr>
    </w:p>
    <w:p w:rsidR="006B4573" w:rsidRPr="006B4573" w:rsidRDefault="006B4573" w:rsidP="006B4573">
      <w:pPr>
        <w:pStyle w:val="Heading3"/>
      </w:pPr>
      <w:r w:rsidRPr="006B4573">
        <w:t>Customer Data</w:t>
      </w:r>
    </w:p>
    <w:p w:rsidR="006B4573" w:rsidRDefault="006B4573" w:rsidP="006B4573">
      <w:pPr>
        <w:tabs>
          <w:tab w:val="left" w:pos="0"/>
          <w:tab w:val="left" w:pos="360"/>
        </w:tabs>
        <w:spacing w:after="120" w:line="240" w:lineRule="auto"/>
        <w:jc w:val="both"/>
        <w:rPr>
          <w:rFonts w:ascii="Arial" w:eastAsia="Arial" w:hAnsi="Arial" w:cs="Arial"/>
          <w:sz w:val="20"/>
          <w:szCs w:val="20"/>
        </w:rPr>
      </w:pPr>
      <w:r>
        <w:rPr>
          <w:rFonts w:ascii="Arial" w:eastAsia="Arial" w:hAnsi="Arial" w:cs="Arial"/>
          <w:sz w:val="20"/>
          <w:szCs w:val="20"/>
        </w:rPr>
        <w:t>Customer retains all right, title, and interest in the Customer Data and all Intellectual Property Rights therein. C</w:t>
      </w:r>
      <w:r>
        <w:rPr>
          <w:rFonts w:ascii="Arial" w:eastAsia="Arial" w:hAnsi="Arial" w:cs="Arial"/>
          <w:sz w:val="20"/>
          <w:szCs w:val="20"/>
        </w:rPr>
        <w:t>ustomer hereby grants to VENDOR</w:t>
      </w:r>
      <w:r>
        <w:rPr>
          <w:rFonts w:ascii="Arial" w:eastAsia="Arial" w:hAnsi="Arial" w:cs="Arial"/>
          <w:sz w:val="20"/>
          <w:szCs w:val="20"/>
        </w:rPr>
        <w:t xml:space="preserve"> a non-exclusive, royalty-free license to, and permit its partners (which include, without limitation the hosting providers of the Software Services) to, use, store, edit and reformat the Customer Data, and to use Customer Data for purposes of sales, marketing, business development, product enhancement, customer service, or for analyzing such data and publ</w:t>
      </w:r>
      <w:r>
        <w:rPr>
          <w:rFonts w:ascii="Arial" w:eastAsia="Arial" w:hAnsi="Arial" w:cs="Arial"/>
          <w:sz w:val="20"/>
          <w:szCs w:val="20"/>
        </w:rPr>
        <w:t>icly disclosing such analysis</w:t>
      </w:r>
      <w:r>
        <w:rPr>
          <w:rFonts w:ascii="Arial" w:eastAsia="Arial" w:hAnsi="Arial" w:cs="Arial"/>
          <w:sz w:val="20"/>
          <w:szCs w:val="20"/>
        </w:rPr>
        <w:t xml:space="preserve">, provided that in all such uses Customer Data is rendered anonymous such that Customer is no longer identifiable. </w:t>
      </w:r>
    </w:p>
    <w:p w:rsidR="006B4573" w:rsidRDefault="006B4573" w:rsidP="006B4573">
      <w:pPr>
        <w:tabs>
          <w:tab w:val="left" w:pos="0"/>
          <w:tab w:val="left" w:pos="360"/>
        </w:tabs>
        <w:spacing w:after="120" w:line="240" w:lineRule="auto"/>
        <w:jc w:val="both"/>
        <w:rPr>
          <w:rFonts w:ascii="Arial" w:eastAsia="Arial" w:hAnsi="Arial" w:cs="Arial"/>
          <w:sz w:val="20"/>
          <w:szCs w:val="20"/>
        </w:rPr>
      </w:pPr>
      <w:r>
        <w:rPr>
          <w:rFonts w:ascii="Arial" w:eastAsia="Arial" w:hAnsi="Arial" w:cs="Arial"/>
          <w:sz w:val="20"/>
          <w:szCs w:val="20"/>
        </w:rPr>
        <w:t xml:space="preserve">Customer may download the Customer Data from the Software Services at any time during the Term, other than during routine software maintenance periods. </w:t>
      </w:r>
      <w:r>
        <w:rPr>
          <w:rFonts w:ascii="Arial" w:eastAsia="Arial" w:hAnsi="Arial" w:cs="Arial"/>
          <w:sz w:val="20"/>
          <w:szCs w:val="20"/>
        </w:rPr>
        <w:t>VENDOR</w:t>
      </w:r>
      <w:r>
        <w:rPr>
          <w:rFonts w:ascii="Arial" w:eastAsia="Arial" w:hAnsi="Arial" w:cs="Arial"/>
          <w:sz w:val="20"/>
          <w:szCs w:val="20"/>
        </w:rPr>
        <w:t xml:space="preserve"> has no obligation to return Customer Data to Customer. </w:t>
      </w:r>
    </w:p>
    <w:p w:rsidR="006B4573" w:rsidRPr="00810CFA" w:rsidRDefault="006B4573" w:rsidP="00810CFA">
      <w:pPr>
        <w:pStyle w:val="BodyText"/>
        <w:ind w:right="101"/>
        <w:jc w:val="both"/>
      </w:pPr>
    </w:p>
    <w:sectPr w:rsidR="006B4573" w:rsidRPr="00810CFA" w:rsidSect="004D7CA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2DE" w:rsidRDefault="00E262DE" w:rsidP="00AC47FD">
      <w:pPr>
        <w:spacing w:after="0" w:line="240" w:lineRule="auto"/>
      </w:pPr>
      <w:r>
        <w:separator/>
      </w:r>
    </w:p>
  </w:endnote>
  <w:endnote w:type="continuationSeparator" w:id="0">
    <w:p w:rsidR="00E262DE" w:rsidRDefault="00E262DE" w:rsidP="00AC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94A" w:rsidRDefault="00EF394A" w:rsidP="00AC47FD">
    <w:pPr>
      <w:pStyle w:val="Footer"/>
      <w:jc w:val="center"/>
    </w:pPr>
    <w:r>
      <w:t xml:space="preserve">Page </w:t>
    </w:r>
    <w:r>
      <w:rPr>
        <w:b/>
      </w:rPr>
      <w:fldChar w:fldCharType="begin"/>
    </w:r>
    <w:r>
      <w:rPr>
        <w:b/>
      </w:rPr>
      <w:instrText xml:space="preserve"> PAGE  \* Arabic  \* MERGEFORMAT </w:instrText>
    </w:r>
    <w:r>
      <w:rPr>
        <w:b/>
      </w:rPr>
      <w:fldChar w:fldCharType="separate"/>
    </w:r>
    <w:r w:rsidR="006B4573">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6B4573">
      <w:rPr>
        <w:b/>
        <w:noProof/>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2DE" w:rsidRDefault="00E262DE" w:rsidP="00AC47FD">
      <w:pPr>
        <w:spacing w:after="0" w:line="240" w:lineRule="auto"/>
      </w:pPr>
      <w:r>
        <w:separator/>
      </w:r>
    </w:p>
  </w:footnote>
  <w:footnote w:type="continuationSeparator" w:id="0">
    <w:p w:rsidR="00E262DE" w:rsidRDefault="00E262DE" w:rsidP="00AC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394A" w:rsidTr="00DD3F81">
      <w:tc>
        <w:tcPr>
          <w:tcW w:w="648" w:type="dxa"/>
        </w:tcPr>
        <w:p w:rsidR="00EF394A" w:rsidRDefault="00EF394A">
          <w:pPr>
            <w:pStyle w:val="Header"/>
          </w:pPr>
          <w:r>
            <w:rPr>
              <w:rFonts w:ascii="Arial" w:hAnsi="Arial" w:cs="Arial"/>
              <w:noProof/>
            </w:rPr>
            <w:drawing>
              <wp:inline distT="0" distB="0" distL="0" distR="0" wp14:anchorId="4E653C1D" wp14:editId="1CBFFC6E">
                <wp:extent cx="201685" cy="232914"/>
                <wp:effectExtent l="0" t="0" r="8255" b="0"/>
                <wp:docPr id="37" name="Picture 37" descr="GFOA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OA logo -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44" cy="234368"/>
                        </a:xfrm>
                        <a:prstGeom prst="rect">
                          <a:avLst/>
                        </a:prstGeom>
                        <a:noFill/>
                        <a:ln>
                          <a:noFill/>
                        </a:ln>
                      </pic:spPr>
                    </pic:pic>
                  </a:graphicData>
                </a:graphic>
              </wp:inline>
            </w:drawing>
          </w:r>
        </w:p>
      </w:tc>
      <w:tc>
        <w:tcPr>
          <w:tcW w:w="8928" w:type="dxa"/>
        </w:tcPr>
        <w:p w:rsidR="00EF394A" w:rsidRPr="00DD3F81" w:rsidRDefault="00EF394A" w:rsidP="00162B9F">
          <w:pPr>
            <w:pStyle w:val="Header"/>
            <w:rPr>
              <w:b/>
            </w:rPr>
          </w:pPr>
          <w:r>
            <w:rPr>
              <w:b/>
            </w:rPr>
            <w:t xml:space="preserve">GFOA ERP </w:t>
          </w:r>
          <w:r w:rsidR="00162B9F">
            <w:rPr>
              <w:b/>
            </w:rPr>
            <w:t xml:space="preserve">Exercise </w:t>
          </w:r>
          <w:r>
            <w:rPr>
              <w:b/>
            </w:rPr>
            <w:t>Packet</w:t>
          </w:r>
        </w:p>
      </w:tc>
    </w:tr>
  </w:tbl>
  <w:p w:rsidR="00EF394A" w:rsidRDefault="00EF3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C04"/>
    <w:multiLevelType w:val="hybridMultilevel"/>
    <w:tmpl w:val="4EBC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C2560"/>
    <w:multiLevelType w:val="hybridMultilevel"/>
    <w:tmpl w:val="4A4CD8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E1197"/>
    <w:multiLevelType w:val="multilevel"/>
    <w:tmpl w:val="16866202"/>
    <w:lvl w:ilvl="0">
      <w:start w:val="3"/>
      <w:numFmt w:val="decimal"/>
      <w:lvlText w:val="%1."/>
      <w:lvlJc w:val="left"/>
      <w:pPr>
        <w:ind w:left="500" w:firstLine="0"/>
      </w:pPr>
      <w:rPr>
        <w:rFonts w:ascii="Helvetica Neue" w:eastAsia="Helvetica Neue" w:hAnsi="Helvetica Neue" w:cs="Helvetica Neue"/>
        <w:b/>
        <w:i w:val="0"/>
        <w:strike w:val="0"/>
        <w:color w:val="000000"/>
        <w:sz w:val="20"/>
        <w:szCs w:val="20"/>
        <w:u w:val="none"/>
        <w:vertAlign w:val="baseline"/>
      </w:rPr>
    </w:lvl>
    <w:lvl w:ilvl="1">
      <w:start w:val="1"/>
      <w:numFmt w:val="decimal"/>
      <w:lvlText w:val="%1.%2"/>
      <w:lvlJc w:val="left"/>
      <w:pPr>
        <w:ind w:left="990" w:firstLine="0"/>
      </w:pPr>
      <w:rPr>
        <w:rFonts w:ascii="Helvetica Neue" w:eastAsia="Helvetica Neue" w:hAnsi="Helvetica Neue" w:cs="Helvetica Neue"/>
        <w:b w:val="0"/>
        <w:i w:val="0"/>
        <w:strike w:val="0"/>
        <w:color w:val="000000"/>
        <w:sz w:val="20"/>
        <w:szCs w:val="20"/>
        <w:u w:val="none"/>
        <w:vertAlign w:val="baseline"/>
      </w:rPr>
    </w:lvl>
    <w:lvl w:ilvl="2">
      <w:start w:val="1"/>
      <w:numFmt w:val="lowerRoman"/>
      <w:lvlText w:val="%3"/>
      <w:lvlJc w:val="left"/>
      <w:pPr>
        <w:ind w:left="1080" w:firstLine="0"/>
      </w:pPr>
      <w:rPr>
        <w:rFonts w:ascii="Arial" w:eastAsia="Arial" w:hAnsi="Arial" w:cs="Arial"/>
        <w:b w:val="0"/>
        <w:i w:val="0"/>
        <w:strike w:val="0"/>
        <w:color w:val="555555"/>
        <w:sz w:val="16"/>
        <w:szCs w:val="16"/>
        <w:u w:val="none"/>
        <w:vertAlign w:val="baseline"/>
      </w:rPr>
    </w:lvl>
    <w:lvl w:ilvl="3">
      <w:start w:val="1"/>
      <w:numFmt w:val="decimal"/>
      <w:lvlText w:val="%4"/>
      <w:lvlJc w:val="left"/>
      <w:pPr>
        <w:ind w:left="1800" w:firstLine="0"/>
      </w:pPr>
      <w:rPr>
        <w:rFonts w:ascii="Arial" w:eastAsia="Arial" w:hAnsi="Arial" w:cs="Arial"/>
        <w:b w:val="0"/>
        <w:i w:val="0"/>
        <w:strike w:val="0"/>
        <w:color w:val="555555"/>
        <w:sz w:val="16"/>
        <w:szCs w:val="16"/>
        <w:u w:val="none"/>
        <w:vertAlign w:val="baseline"/>
      </w:rPr>
    </w:lvl>
    <w:lvl w:ilvl="4">
      <w:start w:val="1"/>
      <w:numFmt w:val="lowerLetter"/>
      <w:lvlText w:val="%5"/>
      <w:lvlJc w:val="left"/>
      <w:pPr>
        <w:ind w:left="2520" w:firstLine="0"/>
      </w:pPr>
      <w:rPr>
        <w:rFonts w:ascii="Arial" w:eastAsia="Arial" w:hAnsi="Arial" w:cs="Arial"/>
        <w:b w:val="0"/>
        <w:i w:val="0"/>
        <w:strike w:val="0"/>
        <w:color w:val="555555"/>
        <w:sz w:val="16"/>
        <w:szCs w:val="16"/>
        <w:u w:val="none"/>
        <w:vertAlign w:val="baseline"/>
      </w:rPr>
    </w:lvl>
    <w:lvl w:ilvl="5">
      <w:start w:val="1"/>
      <w:numFmt w:val="lowerRoman"/>
      <w:lvlText w:val="%6"/>
      <w:lvlJc w:val="left"/>
      <w:pPr>
        <w:ind w:left="3240" w:firstLine="0"/>
      </w:pPr>
      <w:rPr>
        <w:rFonts w:ascii="Arial" w:eastAsia="Arial" w:hAnsi="Arial" w:cs="Arial"/>
        <w:b w:val="0"/>
        <w:i w:val="0"/>
        <w:strike w:val="0"/>
        <w:color w:val="555555"/>
        <w:sz w:val="16"/>
        <w:szCs w:val="16"/>
        <w:u w:val="none"/>
        <w:vertAlign w:val="baseline"/>
      </w:rPr>
    </w:lvl>
    <w:lvl w:ilvl="6">
      <w:start w:val="1"/>
      <w:numFmt w:val="decimal"/>
      <w:lvlText w:val="%7"/>
      <w:lvlJc w:val="left"/>
      <w:pPr>
        <w:ind w:left="3960" w:firstLine="0"/>
      </w:pPr>
      <w:rPr>
        <w:rFonts w:ascii="Arial" w:eastAsia="Arial" w:hAnsi="Arial" w:cs="Arial"/>
        <w:b w:val="0"/>
        <w:i w:val="0"/>
        <w:strike w:val="0"/>
        <w:color w:val="555555"/>
        <w:sz w:val="16"/>
        <w:szCs w:val="16"/>
        <w:u w:val="none"/>
        <w:vertAlign w:val="baseline"/>
      </w:rPr>
    </w:lvl>
    <w:lvl w:ilvl="7">
      <w:start w:val="1"/>
      <w:numFmt w:val="lowerLetter"/>
      <w:lvlText w:val="%8"/>
      <w:lvlJc w:val="left"/>
      <w:pPr>
        <w:ind w:left="4680" w:firstLine="0"/>
      </w:pPr>
      <w:rPr>
        <w:rFonts w:ascii="Arial" w:eastAsia="Arial" w:hAnsi="Arial" w:cs="Arial"/>
        <w:b w:val="0"/>
        <w:i w:val="0"/>
        <w:strike w:val="0"/>
        <w:color w:val="555555"/>
        <w:sz w:val="16"/>
        <w:szCs w:val="16"/>
        <w:u w:val="none"/>
        <w:vertAlign w:val="baseline"/>
      </w:rPr>
    </w:lvl>
    <w:lvl w:ilvl="8">
      <w:start w:val="1"/>
      <w:numFmt w:val="lowerRoman"/>
      <w:lvlText w:val="%9"/>
      <w:lvlJc w:val="left"/>
      <w:pPr>
        <w:ind w:left="5400" w:firstLine="0"/>
      </w:pPr>
      <w:rPr>
        <w:rFonts w:ascii="Arial" w:eastAsia="Arial" w:hAnsi="Arial" w:cs="Arial"/>
        <w:b w:val="0"/>
        <w:i w:val="0"/>
        <w:strike w:val="0"/>
        <w:color w:val="555555"/>
        <w:sz w:val="16"/>
        <w:szCs w:val="16"/>
        <w:u w:val="none"/>
        <w:vertAlign w:val="baseline"/>
      </w:rPr>
    </w:lvl>
  </w:abstractNum>
  <w:abstractNum w:abstractNumId="3" w15:restartNumberingAfterBreak="0">
    <w:nsid w:val="089A1A8F"/>
    <w:multiLevelType w:val="hybridMultilevel"/>
    <w:tmpl w:val="7EB437F6"/>
    <w:lvl w:ilvl="0" w:tplc="CBC49EC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3540F"/>
    <w:multiLevelType w:val="hybridMultilevel"/>
    <w:tmpl w:val="46C0AC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C95B96"/>
    <w:multiLevelType w:val="hybridMultilevel"/>
    <w:tmpl w:val="329A9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A6DA2"/>
    <w:multiLevelType w:val="hybridMultilevel"/>
    <w:tmpl w:val="5D7A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C2C6C"/>
    <w:multiLevelType w:val="hybridMultilevel"/>
    <w:tmpl w:val="BB067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1429C"/>
    <w:multiLevelType w:val="hybridMultilevel"/>
    <w:tmpl w:val="E124E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13E3D"/>
    <w:multiLevelType w:val="hybridMultilevel"/>
    <w:tmpl w:val="D94A9790"/>
    <w:lvl w:ilvl="0" w:tplc="08C4CBCE">
      <w:start w:val="1"/>
      <w:numFmt w:val="bullet"/>
      <w:lvlText w:val="o"/>
      <w:lvlJc w:val="left"/>
      <w:pPr>
        <w:tabs>
          <w:tab w:val="num" w:pos="720"/>
        </w:tabs>
        <w:ind w:left="720" w:hanging="360"/>
      </w:pPr>
      <w:rPr>
        <w:rFonts w:ascii="Courier New" w:hAnsi="Courier New" w:hint="default"/>
      </w:rPr>
    </w:lvl>
    <w:lvl w:ilvl="1" w:tplc="3C9CB5CA">
      <w:start w:val="270"/>
      <w:numFmt w:val="bullet"/>
      <w:lvlText w:val=""/>
      <w:lvlJc w:val="left"/>
      <w:pPr>
        <w:tabs>
          <w:tab w:val="num" w:pos="1440"/>
        </w:tabs>
        <w:ind w:left="1440" w:hanging="360"/>
      </w:pPr>
      <w:rPr>
        <w:rFonts w:ascii="Wingdings" w:hAnsi="Wingdings" w:hint="default"/>
      </w:rPr>
    </w:lvl>
    <w:lvl w:ilvl="2" w:tplc="B8004A2C" w:tentative="1">
      <w:start w:val="1"/>
      <w:numFmt w:val="bullet"/>
      <w:lvlText w:val="o"/>
      <w:lvlJc w:val="left"/>
      <w:pPr>
        <w:tabs>
          <w:tab w:val="num" w:pos="2160"/>
        </w:tabs>
        <w:ind w:left="2160" w:hanging="360"/>
      </w:pPr>
      <w:rPr>
        <w:rFonts w:ascii="Courier New" w:hAnsi="Courier New" w:hint="default"/>
      </w:rPr>
    </w:lvl>
    <w:lvl w:ilvl="3" w:tplc="EB942094" w:tentative="1">
      <w:start w:val="1"/>
      <w:numFmt w:val="bullet"/>
      <w:lvlText w:val="o"/>
      <w:lvlJc w:val="left"/>
      <w:pPr>
        <w:tabs>
          <w:tab w:val="num" w:pos="2880"/>
        </w:tabs>
        <w:ind w:left="2880" w:hanging="360"/>
      </w:pPr>
      <w:rPr>
        <w:rFonts w:ascii="Courier New" w:hAnsi="Courier New" w:hint="default"/>
      </w:rPr>
    </w:lvl>
    <w:lvl w:ilvl="4" w:tplc="1AEAEB64" w:tentative="1">
      <w:start w:val="1"/>
      <w:numFmt w:val="bullet"/>
      <w:lvlText w:val="o"/>
      <w:lvlJc w:val="left"/>
      <w:pPr>
        <w:tabs>
          <w:tab w:val="num" w:pos="3600"/>
        </w:tabs>
        <w:ind w:left="3600" w:hanging="360"/>
      </w:pPr>
      <w:rPr>
        <w:rFonts w:ascii="Courier New" w:hAnsi="Courier New" w:hint="default"/>
      </w:rPr>
    </w:lvl>
    <w:lvl w:ilvl="5" w:tplc="1B2CCDAC" w:tentative="1">
      <w:start w:val="1"/>
      <w:numFmt w:val="bullet"/>
      <w:lvlText w:val="o"/>
      <w:lvlJc w:val="left"/>
      <w:pPr>
        <w:tabs>
          <w:tab w:val="num" w:pos="4320"/>
        </w:tabs>
        <w:ind w:left="4320" w:hanging="360"/>
      </w:pPr>
      <w:rPr>
        <w:rFonts w:ascii="Courier New" w:hAnsi="Courier New" w:hint="default"/>
      </w:rPr>
    </w:lvl>
    <w:lvl w:ilvl="6" w:tplc="D5388170" w:tentative="1">
      <w:start w:val="1"/>
      <w:numFmt w:val="bullet"/>
      <w:lvlText w:val="o"/>
      <w:lvlJc w:val="left"/>
      <w:pPr>
        <w:tabs>
          <w:tab w:val="num" w:pos="5040"/>
        </w:tabs>
        <w:ind w:left="5040" w:hanging="360"/>
      </w:pPr>
      <w:rPr>
        <w:rFonts w:ascii="Courier New" w:hAnsi="Courier New" w:hint="default"/>
      </w:rPr>
    </w:lvl>
    <w:lvl w:ilvl="7" w:tplc="0722E084" w:tentative="1">
      <w:start w:val="1"/>
      <w:numFmt w:val="bullet"/>
      <w:lvlText w:val="o"/>
      <w:lvlJc w:val="left"/>
      <w:pPr>
        <w:tabs>
          <w:tab w:val="num" w:pos="5760"/>
        </w:tabs>
        <w:ind w:left="5760" w:hanging="360"/>
      </w:pPr>
      <w:rPr>
        <w:rFonts w:ascii="Courier New" w:hAnsi="Courier New" w:hint="default"/>
      </w:rPr>
    </w:lvl>
    <w:lvl w:ilvl="8" w:tplc="BE7AC900"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47FE1892"/>
    <w:multiLevelType w:val="hybridMultilevel"/>
    <w:tmpl w:val="18A4AAD0"/>
    <w:lvl w:ilvl="0" w:tplc="7F60F30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330EF"/>
    <w:multiLevelType w:val="multilevel"/>
    <w:tmpl w:val="74BE3D78"/>
    <w:lvl w:ilvl="0">
      <w:start w:val="1"/>
      <w:numFmt w:val="upperLetter"/>
      <w:lvlText w:val="%1."/>
      <w:lvlJc w:val="left"/>
      <w:pPr>
        <w:ind w:left="356" w:hanging="257"/>
        <w:jc w:val="left"/>
      </w:pPr>
      <w:rPr>
        <w:rFonts w:ascii="Times New Roman" w:eastAsia="Times New Roman" w:hAnsi="Times New Roman" w:cs="Times New Roman" w:hint="default"/>
        <w:spacing w:val="-24"/>
        <w:w w:val="100"/>
        <w:sz w:val="21"/>
        <w:szCs w:val="21"/>
      </w:rPr>
    </w:lvl>
    <w:lvl w:ilvl="1">
      <w:start w:val="1"/>
      <w:numFmt w:val="decimal"/>
      <w:lvlText w:val="%2."/>
      <w:lvlJc w:val="left"/>
      <w:pPr>
        <w:ind w:left="310" w:hanging="210"/>
        <w:jc w:val="left"/>
      </w:pPr>
      <w:rPr>
        <w:rFonts w:ascii="Times New Roman" w:eastAsia="Times New Roman" w:hAnsi="Times New Roman" w:cs="Times New Roman" w:hint="default"/>
        <w:b/>
        <w:bCs/>
        <w:w w:val="100"/>
        <w:sz w:val="21"/>
        <w:szCs w:val="21"/>
      </w:rPr>
    </w:lvl>
    <w:lvl w:ilvl="2">
      <w:start w:val="1"/>
      <w:numFmt w:val="decimal"/>
      <w:lvlText w:val="%2.%3"/>
      <w:lvlJc w:val="left"/>
      <w:pPr>
        <w:ind w:left="100" w:hanging="360"/>
        <w:jc w:val="left"/>
      </w:pPr>
      <w:rPr>
        <w:rFonts w:ascii="Times New Roman" w:eastAsia="Times New Roman" w:hAnsi="Times New Roman" w:cs="Times New Roman" w:hint="default"/>
        <w:b/>
        <w:bCs/>
        <w:spacing w:val="-23"/>
        <w:w w:val="100"/>
        <w:sz w:val="21"/>
        <w:szCs w:val="21"/>
      </w:rPr>
    </w:lvl>
    <w:lvl w:ilvl="3">
      <w:numFmt w:val="bullet"/>
      <w:lvlText w:val="•"/>
      <w:lvlJc w:val="left"/>
      <w:pPr>
        <w:ind w:left="1510" w:hanging="360"/>
      </w:pPr>
      <w:rPr>
        <w:rFonts w:hint="default"/>
      </w:rPr>
    </w:lvl>
    <w:lvl w:ilvl="4">
      <w:numFmt w:val="bullet"/>
      <w:lvlText w:val="•"/>
      <w:lvlJc w:val="left"/>
      <w:pPr>
        <w:ind w:left="2660" w:hanging="360"/>
      </w:pPr>
      <w:rPr>
        <w:rFonts w:hint="default"/>
      </w:rPr>
    </w:lvl>
    <w:lvl w:ilvl="5">
      <w:numFmt w:val="bullet"/>
      <w:lvlText w:val="•"/>
      <w:lvlJc w:val="left"/>
      <w:pPr>
        <w:ind w:left="3810" w:hanging="360"/>
      </w:pPr>
      <w:rPr>
        <w:rFonts w:hint="default"/>
      </w:rPr>
    </w:lvl>
    <w:lvl w:ilvl="6">
      <w:numFmt w:val="bullet"/>
      <w:lvlText w:val="•"/>
      <w:lvlJc w:val="left"/>
      <w:pPr>
        <w:ind w:left="4960" w:hanging="360"/>
      </w:pPr>
      <w:rPr>
        <w:rFonts w:hint="default"/>
      </w:rPr>
    </w:lvl>
    <w:lvl w:ilvl="7">
      <w:numFmt w:val="bullet"/>
      <w:lvlText w:val="•"/>
      <w:lvlJc w:val="left"/>
      <w:pPr>
        <w:ind w:left="6110" w:hanging="360"/>
      </w:pPr>
      <w:rPr>
        <w:rFonts w:hint="default"/>
      </w:rPr>
    </w:lvl>
    <w:lvl w:ilvl="8">
      <w:numFmt w:val="bullet"/>
      <w:lvlText w:val="•"/>
      <w:lvlJc w:val="left"/>
      <w:pPr>
        <w:ind w:left="7260" w:hanging="360"/>
      </w:pPr>
      <w:rPr>
        <w:rFonts w:hint="default"/>
      </w:rPr>
    </w:lvl>
  </w:abstractNum>
  <w:abstractNum w:abstractNumId="12" w15:restartNumberingAfterBreak="0">
    <w:nsid w:val="62EA63E8"/>
    <w:multiLevelType w:val="multilevel"/>
    <w:tmpl w:val="F39435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4C365AA"/>
    <w:multiLevelType w:val="hybridMultilevel"/>
    <w:tmpl w:val="81B21F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B42BDE"/>
    <w:multiLevelType w:val="hybridMultilevel"/>
    <w:tmpl w:val="A8BCD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E1869"/>
    <w:multiLevelType w:val="hybridMultilevel"/>
    <w:tmpl w:val="2116C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06FE5"/>
    <w:multiLevelType w:val="hybridMultilevel"/>
    <w:tmpl w:val="4B7C222C"/>
    <w:lvl w:ilvl="0" w:tplc="688C570E">
      <w:start w:val="1"/>
      <w:numFmt w:val="bullet"/>
      <w:pStyle w:val="TextBullet"/>
      <w:lvlText w:val=""/>
      <w:lvlJc w:val="left"/>
      <w:pPr>
        <w:tabs>
          <w:tab w:val="num" w:pos="720"/>
        </w:tabs>
        <w:ind w:left="720" w:hanging="360"/>
      </w:pPr>
      <w:rPr>
        <w:rFonts w:ascii="Symbol" w:hAnsi="Symbol" w:hint="default"/>
      </w:rPr>
    </w:lvl>
    <w:lvl w:ilvl="1" w:tplc="1592F19E">
      <w:start w:val="1"/>
      <w:numFmt w:val="bullet"/>
      <w:lvlText w:val="o"/>
      <w:lvlJc w:val="left"/>
      <w:pPr>
        <w:tabs>
          <w:tab w:val="num" w:pos="1440"/>
        </w:tabs>
        <w:ind w:left="1440" w:hanging="360"/>
      </w:pPr>
      <w:rPr>
        <w:rFonts w:ascii="Courier New" w:hAnsi="Courier New" w:cs="Courier New" w:hint="default"/>
      </w:rPr>
    </w:lvl>
    <w:lvl w:ilvl="2" w:tplc="E304C44C">
      <w:start w:val="1"/>
      <w:numFmt w:val="bullet"/>
      <w:lvlText w:val=""/>
      <w:lvlJc w:val="left"/>
      <w:pPr>
        <w:tabs>
          <w:tab w:val="num" w:pos="2160"/>
        </w:tabs>
        <w:ind w:left="2160" w:hanging="360"/>
      </w:pPr>
      <w:rPr>
        <w:rFonts w:ascii="Wingdings" w:hAnsi="Wingdings" w:hint="default"/>
      </w:rPr>
    </w:lvl>
    <w:lvl w:ilvl="3" w:tplc="424E0E22">
      <w:start w:val="1"/>
      <w:numFmt w:val="bullet"/>
      <w:lvlText w:val=""/>
      <w:lvlJc w:val="left"/>
      <w:pPr>
        <w:tabs>
          <w:tab w:val="num" w:pos="2880"/>
        </w:tabs>
        <w:ind w:left="2880" w:hanging="360"/>
      </w:pPr>
      <w:rPr>
        <w:rFonts w:ascii="Symbol" w:hAnsi="Symbol" w:hint="default"/>
      </w:rPr>
    </w:lvl>
    <w:lvl w:ilvl="4" w:tplc="A42E1EA2">
      <w:start w:val="1"/>
      <w:numFmt w:val="bullet"/>
      <w:lvlText w:val="o"/>
      <w:lvlJc w:val="left"/>
      <w:pPr>
        <w:tabs>
          <w:tab w:val="num" w:pos="3600"/>
        </w:tabs>
        <w:ind w:left="3600" w:hanging="360"/>
      </w:pPr>
      <w:rPr>
        <w:rFonts w:ascii="Courier New" w:hAnsi="Courier New" w:cs="Courier New" w:hint="default"/>
      </w:rPr>
    </w:lvl>
    <w:lvl w:ilvl="5" w:tplc="A844CF48">
      <w:start w:val="1"/>
      <w:numFmt w:val="bullet"/>
      <w:lvlText w:val=""/>
      <w:lvlJc w:val="left"/>
      <w:pPr>
        <w:tabs>
          <w:tab w:val="num" w:pos="4320"/>
        </w:tabs>
        <w:ind w:left="4320" w:hanging="360"/>
      </w:pPr>
      <w:rPr>
        <w:rFonts w:ascii="Wingdings" w:hAnsi="Wingdings" w:hint="default"/>
      </w:rPr>
    </w:lvl>
    <w:lvl w:ilvl="6" w:tplc="793A1D34">
      <w:start w:val="1"/>
      <w:numFmt w:val="bullet"/>
      <w:lvlText w:val=""/>
      <w:lvlJc w:val="left"/>
      <w:pPr>
        <w:tabs>
          <w:tab w:val="num" w:pos="5040"/>
        </w:tabs>
        <w:ind w:left="5040" w:hanging="360"/>
      </w:pPr>
      <w:rPr>
        <w:rFonts w:ascii="Symbol" w:hAnsi="Symbol" w:hint="default"/>
      </w:rPr>
    </w:lvl>
    <w:lvl w:ilvl="7" w:tplc="A796D92C">
      <w:start w:val="1"/>
      <w:numFmt w:val="bullet"/>
      <w:lvlText w:val="o"/>
      <w:lvlJc w:val="left"/>
      <w:pPr>
        <w:tabs>
          <w:tab w:val="num" w:pos="5760"/>
        </w:tabs>
        <w:ind w:left="5760" w:hanging="360"/>
      </w:pPr>
      <w:rPr>
        <w:rFonts w:ascii="Courier New" w:hAnsi="Courier New" w:cs="Courier New" w:hint="default"/>
      </w:rPr>
    </w:lvl>
    <w:lvl w:ilvl="8" w:tplc="26DADF3C">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3"/>
  </w:num>
  <w:num w:numId="5">
    <w:abstractNumId w:val="15"/>
  </w:num>
  <w:num w:numId="6">
    <w:abstractNumId w:val="8"/>
  </w:num>
  <w:num w:numId="7">
    <w:abstractNumId w:val="5"/>
  </w:num>
  <w:num w:numId="8">
    <w:abstractNumId w:val="10"/>
  </w:num>
  <w:num w:numId="9">
    <w:abstractNumId w:val="1"/>
  </w:num>
  <w:num w:numId="10">
    <w:abstractNumId w:val="9"/>
  </w:num>
  <w:num w:numId="11">
    <w:abstractNumId w:val="16"/>
  </w:num>
  <w:num w:numId="12">
    <w:abstractNumId w:val="3"/>
  </w:num>
  <w:num w:numId="13">
    <w:abstractNumId w:val="3"/>
  </w:num>
  <w:num w:numId="14">
    <w:abstractNumId w:val="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 w:numId="19">
    <w:abstractNumId w:val="12"/>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A7"/>
    <w:rsid w:val="00076267"/>
    <w:rsid w:val="00095084"/>
    <w:rsid w:val="000A659A"/>
    <w:rsid w:val="000F7D16"/>
    <w:rsid w:val="0016183D"/>
    <w:rsid w:val="00162B9F"/>
    <w:rsid w:val="001923E9"/>
    <w:rsid w:val="001A6930"/>
    <w:rsid w:val="001B22B8"/>
    <w:rsid w:val="001B4D1B"/>
    <w:rsid w:val="001C121B"/>
    <w:rsid w:val="00247BF5"/>
    <w:rsid w:val="002508FA"/>
    <w:rsid w:val="0025307A"/>
    <w:rsid w:val="00280728"/>
    <w:rsid w:val="002A0759"/>
    <w:rsid w:val="002B54A4"/>
    <w:rsid w:val="002C3582"/>
    <w:rsid w:val="003302E7"/>
    <w:rsid w:val="00380923"/>
    <w:rsid w:val="003C7B86"/>
    <w:rsid w:val="004C0860"/>
    <w:rsid w:val="004D456B"/>
    <w:rsid w:val="004D7CAD"/>
    <w:rsid w:val="00507F53"/>
    <w:rsid w:val="0053658B"/>
    <w:rsid w:val="0059093C"/>
    <w:rsid w:val="005D51DF"/>
    <w:rsid w:val="00612905"/>
    <w:rsid w:val="006505E6"/>
    <w:rsid w:val="00676E71"/>
    <w:rsid w:val="006B4573"/>
    <w:rsid w:val="00743055"/>
    <w:rsid w:val="007D48D0"/>
    <w:rsid w:val="00810CFA"/>
    <w:rsid w:val="008E3E6F"/>
    <w:rsid w:val="008F7C23"/>
    <w:rsid w:val="009A4AAB"/>
    <w:rsid w:val="00A3689B"/>
    <w:rsid w:val="00A62C9D"/>
    <w:rsid w:val="00AC47FD"/>
    <w:rsid w:val="00B506E6"/>
    <w:rsid w:val="00BA5FA5"/>
    <w:rsid w:val="00BB2A14"/>
    <w:rsid w:val="00BB67A1"/>
    <w:rsid w:val="00BD4734"/>
    <w:rsid w:val="00C25800"/>
    <w:rsid w:val="00C76033"/>
    <w:rsid w:val="00C904B6"/>
    <w:rsid w:val="00CC0C4B"/>
    <w:rsid w:val="00CC713B"/>
    <w:rsid w:val="00CD0C22"/>
    <w:rsid w:val="00CD2BF2"/>
    <w:rsid w:val="00CF10C3"/>
    <w:rsid w:val="00D07843"/>
    <w:rsid w:val="00D30FA1"/>
    <w:rsid w:val="00D82E2A"/>
    <w:rsid w:val="00DD3F81"/>
    <w:rsid w:val="00E121C9"/>
    <w:rsid w:val="00E262DE"/>
    <w:rsid w:val="00E26F2C"/>
    <w:rsid w:val="00E647DC"/>
    <w:rsid w:val="00EA27C3"/>
    <w:rsid w:val="00EB5596"/>
    <w:rsid w:val="00EF06EC"/>
    <w:rsid w:val="00EF394A"/>
    <w:rsid w:val="00F068A7"/>
    <w:rsid w:val="00F61F1E"/>
    <w:rsid w:val="00F67BBA"/>
    <w:rsid w:val="00F900EC"/>
    <w:rsid w:val="00FC3B39"/>
    <w:rsid w:val="00FF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6D79"/>
  <w15:docId w15:val="{3795FFE0-A4ED-468D-840D-05FC3D00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47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4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0860"/>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lean Titles By G,Numbered list 1"/>
    <w:basedOn w:val="Normal"/>
    <w:link w:val="ListParagraphChar"/>
    <w:uiPriority w:val="1"/>
    <w:qFormat/>
    <w:rsid w:val="00F068A7"/>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AC4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7FD"/>
    <w:rPr>
      <w:rFonts w:ascii="Tahoma" w:hAnsi="Tahoma" w:cs="Tahoma"/>
      <w:sz w:val="16"/>
      <w:szCs w:val="16"/>
    </w:rPr>
  </w:style>
  <w:style w:type="character" w:customStyle="1" w:styleId="Heading1Char">
    <w:name w:val="Heading 1 Char"/>
    <w:basedOn w:val="DefaultParagraphFont"/>
    <w:link w:val="Heading1"/>
    <w:uiPriority w:val="9"/>
    <w:rsid w:val="00AC47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47F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C4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7FD"/>
  </w:style>
  <w:style w:type="paragraph" w:styleId="Footer">
    <w:name w:val="footer"/>
    <w:basedOn w:val="Normal"/>
    <w:link w:val="FooterChar"/>
    <w:uiPriority w:val="99"/>
    <w:unhideWhenUsed/>
    <w:rsid w:val="00AC4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FD"/>
  </w:style>
  <w:style w:type="table" w:styleId="TableGrid">
    <w:name w:val="Table Grid"/>
    <w:basedOn w:val="TableNormal"/>
    <w:uiPriority w:val="59"/>
    <w:rsid w:val="00AC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C0860"/>
    <w:rPr>
      <w:rFonts w:asciiTheme="majorHAnsi" w:eastAsiaTheme="majorEastAsia" w:hAnsiTheme="majorHAnsi" w:cstheme="majorBidi"/>
      <w:b/>
      <w:bCs/>
    </w:rPr>
  </w:style>
  <w:style w:type="paragraph" w:styleId="TOC1">
    <w:name w:val="toc 1"/>
    <w:basedOn w:val="Normal"/>
    <w:next w:val="Normal"/>
    <w:autoRedefine/>
    <w:uiPriority w:val="39"/>
    <w:unhideWhenUsed/>
    <w:rsid w:val="003C7B86"/>
    <w:pPr>
      <w:spacing w:after="100"/>
    </w:pPr>
  </w:style>
  <w:style w:type="character" w:styleId="Hyperlink">
    <w:name w:val="Hyperlink"/>
    <w:basedOn w:val="DefaultParagraphFont"/>
    <w:uiPriority w:val="99"/>
    <w:unhideWhenUsed/>
    <w:rsid w:val="003C7B86"/>
    <w:rPr>
      <w:color w:val="0000FF" w:themeColor="hyperlink"/>
      <w:u w:val="single"/>
    </w:rPr>
  </w:style>
  <w:style w:type="paragraph" w:customStyle="1" w:styleId="TextBullet">
    <w:name w:val="Text Bullet"/>
    <w:basedOn w:val="Normal"/>
    <w:rsid w:val="003C7B86"/>
    <w:pPr>
      <w:numPr>
        <w:numId w:val="11"/>
      </w:numPr>
      <w:spacing w:after="0" w:line="240" w:lineRule="auto"/>
    </w:pPr>
    <w:rPr>
      <w:rFonts w:ascii="Times New Roman" w:eastAsia="Times New Roman" w:hAnsi="Times New Roman" w:cs="Times New Roman"/>
      <w:szCs w:val="20"/>
    </w:rPr>
  </w:style>
  <w:style w:type="table" w:styleId="GridTable4-Accent1">
    <w:name w:val="Grid Table 4 Accent 1"/>
    <w:basedOn w:val="TableNormal"/>
    <w:uiPriority w:val="49"/>
    <w:rsid w:val="00C904B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Clean Titles By G Char,Numbered list 1 Char"/>
    <w:link w:val="ListParagraph"/>
    <w:uiPriority w:val="34"/>
    <w:locked/>
    <w:rsid w:val="00F67BBA"/>
    <w:rPr>
      <w:rFonts w:ascii="Calibri" w:hAnsi="Calibri" w:cs="Calibri"/>
    </w:rPr>
  </w:style>
  <w:style w:type="paragraph" w:styleId="BodyText">
    <w:name w:val="Body Text"/>
    <w:basedOn w:val="Normal"/>
    <w:link w:val="BodyTextChar"/>
    <w:uiPriority w:val="1"/>
    <w:qFormat/>
    <w:rsid w:val="00E121C9"/>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E121C9"/>
    <w:rPr>
      <w:rFonts w:ascii="Times New Roman" w:eastAsia="Times New Roman" w:hAnsi="Times New Roman" w:cs="Times New Roman"/>
      <w:sz w:val="21"/>
      <w:szCs w:val="21"/>
    </w:rPr>
  </w:style>
  <w:style w:type="character" w:styleId="CommentReference">
    <w:name w:val="annotation reference"/>
    <w:basedOn w:val="DefaultParagraphFont"/>
    <w:uiPriority w:val="99"/>
    <w:semiHidden/>
    <w:unhideWhenUsed/>
    <w:rsid w:val="006B4573"/>
    <w:rPr>
      <w:sz w:val="18"/>
      <w:szCs w:val="18"/>
    </w:rPr>
  </w:style>
  <w:style w:type="paragraph" w:styleId="CommentText">
    <w:name w:val="annotation text"/>
    <w:basedOn w:val="Normal"/>
    <w:link w:val="CommentTextChar"/>
    <w:uiPriority w:val="99"/>
    <w:semiHidden/>
    <w:unhideWhenUsed/>
    <w:rsid w:val="006B4573"/>
    <w:pPr>
      <w:spacing w:after="160" w:line="240" w:lineRule="auto"/>
    </w:pPr>
    <w:rPr>
      <w:rFonts w:ascii="Calibri" w:eastAsia="Calibri" w:hAnsi="Calibri" w:cs="Calibri"/>
      <w:sz w:val="24"/>
      <w:szCs w:val="24"/>
    </w:rPr>
  </w:style>
  <w:style w:type="character" w:customStyle="1" w:styleId="CommentTextChar">
    <w:name w:val="Comment Text Char"/>
    <w:basedOn w:val="DefaultParagraphFont"/>
    <w:link w:val="CommentText"/>
    <w:uiPriority w:val="99"/>
    <w:semiHidden/>
    <w:rsid w:val="006B4573"/>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04795">
      <w:bodyDiv w:val="1"/>
      <w:marLeft w:val="0"/>
      <w:marRight w:val="0"/>
      <w:marTop w:val="0"/>
      <w:marBottom w:val="0"/>
      <w:divBdr>
        <w:top w:val="none" w:sz="0" w:space="0" w:color="auto"/>
        <w:left w:val="none" w:sz="0" w:space="0" w:color="auto"/>
        <w:bottom w:val="none" w:sz="0" w:space="0" w:color="auto"/>
        <w:right w:val="none" w:sz="0" w:space="0" w:color="auto"/>
      </w:divBdr>
    </w:div>
    <w:div w:id="481581070">
      <w:bodyDiv w:val="1"/>
      <w:marLeft w:val="0"/>
      <w:marRight w:val="0"/>
      <w:marTop w:val="0"/>
      <w:marBottom w:val="0"/>
      <w:divBdr>
        <w:top w:val="none" w:sz="0" w:space="0" w:color="auto"/>
        <w:left w:val="none" w:sz="0" w:space="0" w:color="auto"/>
        <w:bottom w:val="none" w:sz="0" w:space="0" w:color="auto"/>
        <w:right w:val="none" w:sz="0" w:space="0" w:color="auto"/>
      </w:divBdr>
    </w:div>
    <w:div w:id="1513640962">
      <w:bodyDiv w:val="1"/>
      <w:marLeft w:val="0"/>
      <w:marRight w:val="0"/>
      <w:marTop w:val="0"/>
      <w:marBottom w:val="0"/>
      <w:divBdr>
        <w:top w:val="none" w:sz="0" w:space="0" w:color="auto"/>
        <w:left w:val="none" w:sz="0" w:space="0" w:color="auto"/>
        <w:bottom w:val="none" w:sz="0" w:space="0" w:color="auto"/>
        <w:right w:val="none" w:sz="0" w:space="0" w:color="auto"/>
      </w:divBdr>
      <w:divsChild>
        <w:div w:id="408311977">
          <w:marLeft w:val="720"/>
          <w:marRight w:val="0"/>
          <w:marTop w:val="154"/>
          <w:marBottom w:val="0"/>
          <w:divBdr>
            <w:top w:val="none" w:sz="0" w:space="0" w:color="auto"/>
            <w:left w:val="none" w:sz="0" w:space="0" w:color="auto"/>
            <w:bottom w:val="none" w:sz="0" w:space="0" w:color="auto"/>
            <w:right w:val="none" w:sz="0" w:space="0" w:color="auto"/>
          </w:divBdr>
        </w:div>
        <w:div w:id="460652902">
          <w:marLeft w:val="720"/>
          <w:marRight w:val="0"/>
          <w:marTop w:val="154"/>
          <w:marBottom w:val="0"/>
          <w:divBdr>
            <w:top w:val="none" w:sz="0" w:space="0" w:color="auto"/>
            <w:left w:val="none" w:sz="0" w:space="0" w:color="auto"/>
            <w:bottom w:val="none" w:sz="0" w:space="0" w:color="auto"/>
            <w:right w:val="none" w:sz="0" w:space="0" w:color="auto"/>
          </w:divBdr>
        </w:div>
        <w:div w:id="100997399">
          <w:marLeft w:val="1166"/>
          <w:marRight w:val="0"/>
          <w:marTop w:val="134"/>
          <w:marBottom w:val="0"/>
          <w:divBdr>
            <w:top w:val="none" w:sz="0" w:space="0" w:color="auto"/>
            <w:left w:val="none" w:sz="0" w:space="0" w:color="auto"/>
            <w:bottom w:val="none" w:sz="0" w:space="0" w:color="auto"/>
            <w:right w:val="none" w:sz="0" w:space="0" w:color="auto"/>
          </w:divBdr>
        </w:div>
        <w:div w:id="1068574765">
          <w:marLeft w:val="720"/>
          <w:marRight w:val="0"/>
          <w:marTop w:val="154"/>
          <w:marBottom w:val="0"/>
          <w:divBdr>
            <w:top w:val="none" w:sz="0" w:space="0" w:color="auto"/>
            <w:left w:val="none" w:sz="0" w:space="0" w:color="auto"/>
            <w:bottom w:val="none" w:sz="0" w:space="0" w:color="auto"/>
            <w:right w:val="none" w:sz="0" w:space="0" w:color="auto"/>
          </w:divBdr>
        </w:div>
        <w:div w:id="1845851613">
          <w:marLeft w:val="1166"/>
          <w:marRight w:val="0"/>
          <w:marTop w:val="134"/>
          <w:marBottom w:val="0"/>
          <w:divBdr>
            <w:top w:val="none" w:sz="0" w:space="0" w:color="auto"/>
            <w:left w:val="none" w:sz="0" w:space="0" w:color="auto"/>
            <w:bottom w:val="none" w:sz="0" w:space="0" w:color="auto"/>
            <w:right w:val="none" w:sz="0" w:space="0" w:color="auto"/>
          </w:divBdr>
        </w:div>
      </w:divsChild>
    </w:div>
    <w:div w:id="19414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oa.org/po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CE276-3C1C-4781-9E14-60341E55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MMucha</dc:creator>
  <cp:lastModifiedBy>Michael Mucha</cp:lastModifiedBy>
  <cp:revision>36</cp:revision>
  <cp:lastPrinted>2019-06-10T19:39:00Z</cp:lastPrinted>
  <dcterms:created xsi:type="dcterms:W3CDTF">2014-03-16T19:17:00Z</dcterms:created>
  <dcterms:modified xsi:type="dcterms:W3CDTF">2021-09-29T15:36:00Z</dcterms:modified>
</cp:coreProperties>
</file>