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89B" w:rsidRPr="00BD4734" w:rsidRDefault="004D7CAD" w:rsidP="00A3689B">
      <w:pPr>
        <w:pStyle w:val="Heading1"/>
        <w:rPr>
          <w:rFonts w:asciiTheme="minorHAnsi" w:hAnsiTheme="minorHAnsi" w:cstheme="minorHAnsi"/>
        </w:rPr>
      </w:pPr>
      <w:r>
        <w:rPr>
          <w:rFonts w:asciiTheme="minorHAnsi" w:hAnsiTheme="minorHAnsi" w:cstheme="minorHAnsi"/>
        </w:rPr>
        <w:t>Service Level Agreements – Example 1</w:t>
      </w:r>
      <w:r w:rsidR="00B506E6">
        <w:rPr>
          <w:rFonts w:asciiTheme="minorHAnsi" w:hAnsiTheme="minorHAnsi" w:cstheme="minorHAnsi"/>
        </w:rPr>
        <w:t xml:space="preserve"> </w:t>
      </w:r>
    </w:p>
    <w:p w:rsidR="00B506E6" w:rsidRDefault="00B506E6" w:rsidP="004D7CAD">
      <w:pPr>
        <w:rPr>
          <w:rFonts w:cstheme="minorHAnsi"/>
        </w:rPr>
      </w:pPr>
      <w:r>
        <w:rPr>
          <w:rFonts w:cstheme="minorHAnsi"/>
        </w:rPr>
        <w:t xml:space="preserve">Review </w:t>
      </w:r>
      <w:r w:rsidR="004D7CAD">
        <w:rPr>
          <w:rFonts w:cstheme="minorHAnsi"/>
        </w:rPr>
        <w:t xml:space="preserve">the service level terms and discuss the questions listed below for each. All terms are taken from a “standard” service level agreement and terms represent all of what was included in that standard SLA. Remember to consider both what is in the SLA (and what expectation it sets) and what is missing and the implications of not defining standards. </w:t>
      </w:r>
    </w:p>
    <w:p w:rsidR="004D7CAD" w:rsidRDefault="004D7CAD" w:rsidP="004D7CAD">
      <w:pPr>
        <w:rPr>
          <w:rFonts w:cstheme="minorHAnsi"/>
        </w:rPr>
      </w:pPr>
      <w:r>
        <w:rPr>
          <w:rFonts w:cstheme="minorHAnsi"/>
        </w:rPr>
        <w:t>Each group will have a different SLA to discuss.</w:t>
      </w:r>
    </w:p>
    <w:p w:rsidR="004D7CAD" w:rsidRPr="00F67BBA" w:rsidRDefault="004D7CAD" w:rsidP="00F67BBA">
      <w:pPr>
        <w:pStyle w:val="Heading3"/>
      </w:pPr>
      <w:r>
        <w:t>Questions</w:t>
      </w:r>
    </w:p>
    <w:p w:rsidR="004D7CAD" w:rsidRDefault="004D7CAD" w:rsidP="004D7CAD">
      <w:r>
        <w:t xml:space="preserve">Discuss each question in your small group. If you would like to submit your answers, you can do so at </w:t>
      </w:r>
      <w:hyperlink r:id="rId8" w:history="1">
        <w:r w:rsidRPr="00DF72E7">
          <w:rPr>
            <w:rStyle w:val="Hyperlink"/>
          </w:rPr>
          <w:t>www.gfoa.org/poll</w:t>
        </w:r>
      </w:hyperlink>
      <w:r>
        <w:t xml:space="preserve"> </w:t>
      </w:r>
    </w:p>
    <w:p w:rsidR="004D7CAD" w:rsidRDefault="004D7CAD" w:rsidP="004D7CAD">
      <w:pPr>
        <w:pStyle w:val="ListParagraph"/>
        <w:numPr>
          <w:ilvl w:val="0"/>
          <w:numId w:val="18"/>
        </w:numPr>
      </w:pPr>
      <w:r>
        <w:t>What does the SLA do well?</w:t>
      </w:r>
    </w:p>
    <w:p w:rsidR="004D7CAD" w:rsidRPr="004D7CAD" w:rsidRDefault="004D7CAD" w:rsidP="004D7CAD">
      <w:pPr>
        <w:pStyle w:val="ListParagraph"/>
      </w:pPr>
    </w:p>
    <w:tbl>
      <w:tblPr>
        <w:tblStyle w:val="TableGrid"/>
        <w:tblW w:w="0" w:type="auto"/>
        <w:tblLook w:val="04A0" w:firstRow="1" w:lastRow="0" w:firstColumn="1" w:lastColumn="0" w:noHBand="0" w:noVBand="1"/>
      </w:tblPr>
      <w:tblGrid>
        <w:gridCol w:w="9576"/>
      </w:tblGrid>
      <w:tr w:rsidR="004D7CAD" w:rsidTr="004D7CAD">
        <w:tc>
          <w:tcPr>
            <w:tcW w:w="9576" w:type="dxa"/>
          </w:tcPr>
          <w:p w:rsidR="004D7CAD" w:rsidRDefault="004D7CAD" w:rsidP="004D7CAD">
            <w:pPr>
              <w:rPr>
                <w:rFonts w:cstheme="minorHAnsi"/>
              </w:rPr>
            </w:pPr>
          </w:p>
          <w:p w:rsidR="004D7CAD" w:rsidRDefault="004D7CAD" w:rsidP="004D7CAD">
            <w:pPr>
              <w:rPr>
                <w:rFonts w:cstheme="minorHAnsi"/>
              </w:rPr>
            </w:pPr>
          </w:p>
          <w:p w:rsidR="004D7CAD" w:rsidRDefault="004D7CAD" w:rsidP="004D7CAD">
            <w:pPr>
              <w:rPr>
                <w:rFonts w:cstheme="minorHAnsi"/>
              </w:rPr>
            </w:pPr>
          </w:p>
          <w:p w:rsidR="004D7CAD" w:rsidRDefault="004D7CAD" w:rsidP="004D7CAD">
            <w:pPr>
              <w:rPr>
                <w:rFonts w:cstheme="minorHAnsi"/>
              </w:rPr>
            </w:pPr>
          </w:p>
        </w:tc>
      </w:tr>
    </w:tbl>
    <w:p w:rsidR="004D7CAD" w:rsidRPr="004D7CAD" w:rsidRDefault="004D7CAD" w:rsidP="004D7CAD">
      <w:pPr>
        <w:rPr>
          <w:rFonts w:cstheme="minorHAnsi"/>
        </w:rPr>
      </w:pPr>
    </w:p>
    <w:p w:rsidR="004D7CAD" w:rsidRDefault="004D7CAD" w:rsidP="004D7CAD">
      <w:pPr>
        <w:pStyle w:val="ListParagraph"/>
        <w:numPr>
          <w:ilvl w:val="0"/>
          <w:numId w:val="18"/>
        </w:numPr>
      </w:pPr>
      <w:r>
        <w:t xml:space="preserve">What in the SLA concerns you? </w:t>
      </w:r>
    </w:p>
    <w:p w:rsidR="004D7CAD" w:rsidRPr="004D7CAD" w:rsidRDefault="004D7CAD" w:rsidP="004D7CAD">
      <w:pPr>
        <w:pStyle w:val="ListParagraph"/>
      </w:pPr>
    </w:p>
    <w:tbl>
      <w:tblPr>
        <w:tblStyle w:val="TableGrid"/>
        <w:tblW w:w="0" w:type="auto"/>
        <w:tblLook w:val="04A0" w:firstRow="1" w:lastRow="0" w:firstColumn="1" w:lastColumn="0" w:noHBand="0" w:noVBand="1"/>
      </w:tblPr>
      <w:tblGrid>
        <w:gridCol w:w="9576"/>
      </w:tblGrid>
      <w:tr w:rsidR="004D7CAD" w:rsidTr="001614A8">
        <w:tc>
          <w:tcPr>
            <w:tcW w:w="9576" w:type="dxa"/>
          </w:tcPr>
          <w:p w:rsidR="004D7CAD" w:rsidRDefault="004D7CAD" w:rsidP="001614A8">
            <w:pPr>
              <w:rPr>
                <w:rFonts w:cstheme="minorHAnsi"/>
              </w:rPr>
            </w:pPr>
          </w:p>
          <w:p w:rsidR="004D7CAD" w:rsidRDefault="004D7CAD" w:rsidP="001614A8">
            <w:pPr>
              <w:rPr>
                <w:rFonts w:cstheme="minorHAnsi"/>
              </w:rPr>
            </w:pPr>
          </w:p>
          <w:p w:rsidR="004D7CAD" w:rsidRDefault="004D7CAD" w:rsidP="001614A8">
            <w:pPr>
              <w:rPr>
                <w:rFonts w:cstheme="minorHAnsi"/>
              </w:rPr>
            </w:pPr>
          </w:p>
          <w:p w:rsidR="004D7CAD" w:rsidRDefault="004D7CAD" w:rsidP="001614A8">
            <w:pPr>
              <w:rPr>
                <w:rFonts w:cstheme="minorHAnsi"/>
              </w:rPr>
            </w:pPr>
          </w:p>
        </w:tc>
      </w:tr>
    </w:tbl>
    <w:p w:rsidR="004D7CAD" w:rsidRDefault="004D7CAD" w:rsidP="004D7CAD"/>
    <w:p w:rsidR="004D7CAD" w:rsidRDefault="004D7CAD" w:rsidP="004D7CAD">
      <w:pPr>
        <w:pStyle w:val="ListParagraph"/>
        <w:numPr>
          <w:ilvl w:val="0"/>
          <w:numId w:val="18"/>
        </w:numPr>
      </w:pPr>
      <w:r>
        <w:t>What is missing from the SLA?</w:t>
      </w:r>
    </w:p>
    <w:p w:rsidR="004D7CAD" w:rsidRPr="004D7CAD" w:rsidRDefault="004D7CAD" w:rsidP="004D7CAD">
      <w:pPr>
        <w:pStyle w:val="ListParagraph"/>
      </w:pPr>
    </w:p>
    <w:tbl>
      <w:tblPr>
        <w:tblStyle w:val="TableGrid"/>
        <w:tblW w:w="0" w:type="auto"/>
        <w:tblLook w:val="04A0" w:firstRow="1" w:lastRow="0" w:firstColumn="1" w:lastColumn="0" w:noHBand="0" w:noVBand="1"/>
      </w:tblPr>
      <w:tblGrid>
        <w:gridCol w:w="9576"/>
      </w:tblGrid>
      <w:tr w:rsidR="004D7CAD" w:rsidTr="001614A8">
        <w:tc>
          <w:tcPr>
            <w:tcW w:w="9576" w:type="dxa"/>
          </w:tcPr>
          <w:p w:rsidR="004D7CAD" w:rsidRDefault="004D7CAD" w:rsidP="001614A8">
            <w:pPr>
              <w:rPr>
                <w:rFonts w:cstheme="minorHAnsi"/>
              </w:rPr>
            </w:pPr>
          </w:p>
          <w:p w:rsidR="004D7CAD" w:rsidRDefault="004D7CAD" w:rsidP="001614A8">
            <w:pPr>
              <w:rPr>
                <w:rFonts w:cstheme="minorHAnsi"/>
              </w:rPr>
            </w:pPr>
          </w:p>
          <w:p w:rsidR="004D7CAD" w:rsidRDefault="004D7CAD" w:rsidP="001614A8">
            <w:pPr>
              <w:rPr>
                <w:rFonts w:cstheme="minorHAnsi"/>
              </w:rPr>
            </w:pPr>
          </w:p>
          <w:p w:rsidR="004D7CAD" w:rsidRDefault="004D7CAD" w:rsidP="001614A8">
            <w:pPr>
              <w:rPr>
                <w:rFonts w:cstheme="minorHAnsi"/>
              </w:rPr>
            </w:pPr>
          </w:p>
        </w:tc>
      </w:tr>
    </w:tbl>
    <w:p w:rsidR="00D07843" w:rsidRDefault="00D07843" w:rsidP="004D7CAD">
      <w:pPr>
        <w:rPr>
          <w:rFonts w:eastAsiaTheme="majorEastAsia" w:cstheme="minorHAnsi"/>
          <w:b/>
          <w:bCs/>
          <w:color w:val="365F91" w:themeColor="accent1" w:themeShade="BF"/>
          <w:sz w:val="28"/>
          <w:szCs w:val="28"/>
        </w:rPr>
      </w:pPr>
    </w:p>
    <w:p w:rsidR="004D7CAD" w:rsidRDefault="004D7CAD" w:rsidP="004D7CAD">
      <w:pPr>
        <w:pStyle w:val="ListParagraph"/>
        <w:numPr>
          <w:ilvl w:val="0"/>
          <w:numId w:val="18"/>
        </w:numPr>
      </w:pPr>
      <w:r>
        <w:t>On a scale of 1 to 10 (1 = terrible and 10 = good), please rate the SLA</w:t>
      </w:r>
    </w:p>
    <w:p w:rsidR="004D7CAD" w:rsidRPr="004D7CAD" w:rsidRDefault="004D7CAD" w:rsidP="004D7CAD">
      <w:pPr>
        <w:pStyle w:val="ListParagraph"/>
      </w:pPr>
    </w:p>
    <w:tbl>
      <w:tblPr>
        <w:tblStyle w:val="TableGrid"/>
        <w:tblW w:w="0" w:type="auto"/>
        <w:tblLook w:val="04A0" w:firstRow="1" w:lastRow="0" w:firstColumn="1" w:lastColumn="0" w:noHBand="0" w:noVBand="1"/>
      </w:tblPr>
      <w:tblGrid>
        <w:gridCol w:w="9576"/>
      </w:tblGrid>
      <w:tr w:rsidR="004D7CAD" w:rsidTr="001614A8">
        <w:tc>
          <w:tcPr>
            <w:tcW w:w="9576" w:type="dxa"/>
          </w:tcPr>
          <w:p w:rsidR="004D7CAD" w:rsidRDefault="004D7CAD" w:rsidP="001614A8">
            <w:pPr>
              <w:rPr>
                <w:rFonts w:cstheme="minorHAnsi"/>
              </w:rPr>
            </w:pPr>
          </w:p>
          <w:p w:rsidR="004D7CAD" w:rsidRDefault="004D7CAD" w:rsidP="001614A8">
            <w:pPr>
              <w:rPr>
                <w:rFonts w:cstheme="minorHAnsi"/>
              </w:rPr>
            </w:pPr>
          </w:p>
          <w:p w:rsidR="004D7CAD" w:rsidRDefault="004D7CAD" w:rsidP="001614A8">
            <w:pPr>
              <w:rPr>
                <w:rFonts w:cstheme="minorHAnsi"/>
              </w:rPr>
            </w:pPr>
          </w:p>
          <w:p w:rsidR="004D7CAD" w:rsidRDefault="004D7CAD" w:rsidP="001614A8">
            <w:pPr>
              <w:rPr>
                <w:rFonts w:cstheme="minorHAnsi"/>
              </w:rPr>
            </w:pPr>
          </w:p>
        </w:tc>
      </w:tr>
    </w:tbl>
    <w:p w:rsidR="004D7CAD" w:rsidRPr="004D7CAD" w:rsidRDefault="004D7CAD" w:rsidP="004D7CAD">
      <w:pPr>
        <w:pStyle w:val="ListParagraph"/>
        <w:rPr>
          <w:rFonts w:eastAsiaTheme="majorEastAsia" w:cstheme="minorHAnsi"/>
          <w:b/>
          <w:bCs/>
          <w:color w:val="365F91" w:themeColor="accent1" w:themeShade="BF"/>
          <w:sz w:val="28"/>
          <w:szCs w:val="28"/>
        </w:rPr>
      </w:pPr>
    </w:p>
    <w:p w:rsidR="004D7CAD" w:rsidRDefault="004D7CAD" w:rsidP="004D7CAD">
      <w:pPr>
        <w:rPr>
          <w:rFonts w:eastAsiaTheme="majorEastAsia" w:cstheme="minorHAnsi"/>
          <w:b/>
          <w:bCs/>
          <w:color w:val="365F91" w:themeColor="accent1" w:themeShade="BF"/>
          <w:sz w:val="28"/>
          <w:szCs w:val="28"/>
        </w:rPr>
      </w:pPr>
    </w:p>
    <w:p w:rsidR="00F67BBA" w:rsidRDefault="00F67BBA" w:rsidP="004D7CAD">
      <w:pPr>
        <w:rPr>
          <w:rFonts w:eastAsiaTheme="majorEastAsia" w:cstheme="minorHAnsi"/>
          <w:b/>
          <w:bCs/>
          <w:color w:val="365F91" w:themeColor="accent1" w:themeShade="BF"/>
          <w:sz w:val="28"/>
          <w:szCs w:val="28"/>
        </w:rPr>
      </w:pPr>
      <w:r w:rsidRPr="00F67BBA">
        <w:rPr>
          <w:rFonts w:eastAsiaTheme="majorEastAsia" w:cstheme="minorHAnsi"/>
          <w:b/>
          <w:bCs/>
          <w:color w:val="365F91" w:themeColor="accent1" w:themeShade="BF"/>
          <w:sz w:val="28"/>
          <w:szCs w:val="28"/>
          <w:highlight w:val="yellow"/>
        </w:rPr>
        <w:lastRenderedPageBreak/>
        <w:t>Example SLA 1</w:t>
      </w:r>
    </w:p>
    <w:p w:rsidR="00F67BBA" w:rsidRPr="00E567CF" w:rsidRDefault="00F67BBA" w:rsidP="00F67BBA">
      <w:pPr>
        <w:jc w:val="both"/>
        <w:rPr>
          <w:rFonts w:ascii="Calibri" w:hAnsi="Calibri" w:cs="Calibri"/>
        </w:rPr>
      </w:pPr>
      <w:r w:rsidRPr="00E567CF">
        <w:rPr>
          <w:rFonts w:ascii="Calibri" w:hAnsi="Calibri" w:cs="Calibri"/>
          <w:b/>
        </w:rPr>
        <w:t xml:space="preserve">Definitions. </w:t>
      </w:r>
      <w:r w:rsidRPr="00E567CF">
        <w:rPr>
          <w:rFonts w:ascii="Calibri" w:hAnsi="Calibri" w:cs="Calibri"/>
        </w:rPr>
        <w:t>Except as defined below, all defined terms have the meaning set forth in the Agreement.</w:t>
      </w:r>
    </w:p>
    <w:p w:rsidR="00F67BBA" w:rsidRPr="00E567CF" w:rsidRDefault="00F67BBA" w:rsidP="00F67BBA">
      <w:pPr>
        <w:spacing w:after="120"/>
        <w:jc w:val="both"/>
        <w:rPr>
          <w:rFonts w:ascii="Calibri" w:hAnsi="Calibri" w:cs="Calibri"/>
        </w:rPr>
      </w:pPr>
      <w:r w:rsidRPr="00E567CF">
        <w:rPr>
          <w:rFonts w:ascii="Calibri" w:hAnsi="Calibri" w:cs="Calibri"/>
          <w:i/>
        </w:rPr>
        <w:t xml:space="preserve">Attainment: </w:t>
      </w:r>
      <w:r>
        <w:rPr>
          <w:rFonts w:ascii="Calibri" w:hAnsi="Calibri" w:cs="Calibri"/>
        </w:rPr>
        <w:t xml:space="preserve">The percentage of time the </w:t>
      </w:r>
      <w:r w:rsidRPr="00E567CF">
        <w:rPr>
          <w:rFonts w:ascii="Calibri" w:hAnsi="Calibri" w:cs="Calibri"/>
        </w:rPr>
        <w:t xml:space="preserve">Software is available during a calendar quarter, with percentages rounded to the nearest whole number. </w:t>
      </w:r>
    </w:p>
    <w:p w:rsidR="00F67BBA" w:rsidRPr="00E567CF" w:rsidRDefault="00F67BBA" w:rsidP="00F67BBA">
      <w:pPr>
        <w:spacing w:after="120"/>
        <w:jc w:val="both"/>
        <w:rPr>
          <w:rFonts w:ascii="Calibri" w:hAnsi="Calibri" w:cs="Calibri"/>
        </w:rPr>
      </w:pPr>
      <w:r w:rsidRPr="00E567CF">
        <w:rPr>
          <w:rFonts w:ascii="Calibri" w:hAnsi="Calibri" w:cs="Calibri"/>
          <w:i/>
        </w:rPr>
        <w:t>Client Error Incident</w:t>
      </w:r>
      <w:r w:rsidRPr="00E567CF">
        <w:rPr>
          <w:rFonts w:ascii="Calibri" w:hAnsi="Calibri" w:cs="Calibri"/>
        </w:rPr>
        <w:t xml:space="preserve">: Any service unavailability resulting from your applications, content or equipment, or the acts or omissions of any of your service users or third-party providers over whom we exercise no control.  </w:t>
      </w:r>
    </w:p>
    <w:p w:rsidR="00F67BBA" w:rsidRPr="00E567CF" w:rsidRDefault="00F67BBA" w:rsidP="00F67BBA">
      <w:pPr>
        <w:spacing w:after="120"/>
        <w:jc w:val="both"/>
        <w:rPr>
          <w:rFonts w:ascii="Calibri" w:hAnsi="Calibri" w:cs="Calibri"/>
        </w:rPr>
      </w:pPr>
      <w:r w:rsidRPr="00E567CF">
        <w:rPr>
          <w:rFonts w:ascii="Calibri" w:hAnsi="Calibri" w:cs="Calibri"/>
          <w:i/>
        </w:rPr>
        <w:t>Downtime</w:t>
      </w:r>
      <w:r w:rsidRPr="00E567CF">
        <w:rPr>
          <w:rFonts w:ascii="Calibri" w:hAnsi="Calibri" w:cs="Calibri"/>
        </w:rPr>
        <w:t>: Those minutes during which the Software is not available for your use.  Downtime does not include those instances in which only a Defect is present.</w:t>
      </w:r>
    </w:p>
    <w:p w:rsidR="00F67BBA" w:rsidRPr="00E567CF" w:rsidRDefault="00F67BBA" w:rsidP="00F67BBA">
      <w:pPr>
        <w:spacing w:after="360"/>
        <w:jc w:val="both"/>
        <w:rPr>
          <w:rFonts w:ascii="Calibri" w:hAnsi="Calibri" w:cs="Calibri"/>
        </w:rPr>
      </w:pPr>
      <w:r w:rsidRPr="00E567CF">
        <w:rPr>
          <w:rFonts w:ascii="Calibri" w:hAnsi="Calibri" w:cs="Calibri"/>
          <w:i/>
        </w:rPr>
        <w:t>Service Availability</w:t>
      </w:r>
      <w:r w:rsidRPr="00E567CF">
        <w:rPr>
          <w:rFonts w:ascii="Calibri" w:hAnsi="Calibri" w:cs="Calibri"/>
        </w:rPr>
        <w:t>:  The total number of minutes in a calendar quarter that the Software is capable of receiving, processing, and responding to requests, excluding maintenance windows, Client Error Incidents and Force Majeure.</w:t>
      </w:r>
    </w:p>
    <w:p w:rsidR="00F67BBA" w:rsidRPr="00E567CF" w:rsidRDefault="00F67BBA" w:rsidP="00F67BBA">
      <w:pPr>
        <w:pStyle w:val="ListParagraph"/>
        <w:spacing w:after="120"/>
        <w:ind w:left="0"/>
        <w:jc w:val="both"/>
        <w:rPr>
          <w:b/>
        </w:rPr>
      </w:pPr>
      <w:r w:rsidRPr="00E567CF">
        <w:rPr>
          <w:b/>
        </w:rPr>
        <w:t>Service Availability</w:t>
      </w:r>
    </w:p>
    <w:p w:rsidR="00F67BBA" w:rsidRPr="00E567CF" w:rsidRDefault="00F67BBA" w:rsidP="00F67BBA">
      <w:pPr>
        <w:spacing w:after="120"/>
        <w:jc w:val="both"/>
        <w:rPr>
          <w:rFonts w:ascii="Calibri" w:hAnsi="Calibri" w:cs="Calibri"/>
        </w:rPr>
      </w:pPr>
      <w:r w:rsidRPr="00E567CF">
        <w:rPr>
          <w:rFonts w:ascii="Calibri" w:hAnsi="Calibri" w:cs="Calibri"/>
        </w:rPr>
        <w:t xml:space="preserve">The Service Availability of the Software is intended to be 24/7/365. </w:t>
      </w:r>
    </w:p>
    <w:p w:rsidR="00F67BBA" w:rsidRPr="00E567CF" w:rsidRDefault="00F67BBA" w:rsidP="00F67BBA">
      <w:pPr>
        <w:spacing w:after="120"/>
        <w:ind w:firstLine="720"/>
        <w:jc w:val="both"/>
        <w:rPr>
          <w:rFonts w:ascii="Calibri" w:hAnsi="Calibri" w:cs="Calibri"/>
        </w:rPr>
      </w:pPr>
      <w:r w:rsidRPr="00E567CF">
        <w:rPr>
          <w:rFonts w:ascii="Calibri" w:hAnsi="Calibri" w:cs="Calibri"/>
        </w:rPr>
        <w:t>a.</w:t>
      </w:r>
      <w:r w:rsidRPr="00E567CF">
        <w:rPr>
          <w:rFonts w:ascii="Calibri" w:hAnsi="Calibri" w:cs="Calibri"/>
        </w:rPr>
        <w:tab/>
      </w:r>
      <w:r w:rsidRPr="00E567CF">
        <w:rPr>
          <w:rFonts w:ascii="Calibri" w:hAnsi="Calibri" w:cs="Calibri"/>
          <w:u w:val="single"/>
        </w:rPr>
        <w:t>Your Responsibilities</w:t>
      </w:r>
    </w:p>
    <w:p w:rsidR="00F67BBA" w:rsidRPr="00E567CF" w:rsidRDefault="00F67BBA" w:rsidP="00F67BBA">
      <w:pPr>
        <w:spacing w:after="120"/>
        <w:jc w:val="both"/>
        <w:rPr>
          <w:rFonts w:ascii="Calibri" w:hAnsi="Calibri" w:cs="Calibri"/>
        </w:rPr>
      </w:pPr>
      <w:r w:rsidRPr="00E567CF">
        <w:rPr>
          <w:rFonts w:ascii="Calibri" w:hAnsi="Calibri" w:cs="Calibri"/>
        </w:rPr>
        <w:t>Whenever you experience Downtime, you must make a support call according to the procedures outlined in the Support Call Process.  You will receive a support incident number.</w:t>
      </w:r>
    </w:p>
    <w:p w:rsidR="00F67BBA" w:rsidRPr="00E567CF" w:rsidRDefault="00F67BBA" w:rsidP="00F67BBA">
      <w:pPr>
        <w:spacing w:after="120"/>
        <w:jc w:val="both"/>
        <w:rPr>
          <w:rFonts w:ascii="Calibri" w:hAnsi="Calibri" w:cs="Calibri"/>
        </w:rPr>
      </w:pPr>
      <w:r w:rsidRPr="00E567CF">
        <w:rPr>
          <w:rFonts w:ascii="Calibri" w:hAnsi="Calibri" w:cs="Calibri"/>
        </w:rPr>
        <w:t>You must document, in writing, all Downtime that you have experienced during a calendar quarter.  You must deliver such documentation to us within 30 days of a quarter’s end.</w:t>
      </w:r>
    </w:p>
    <w:p w:rsidR="00F67BBA" w:rsidRPr="00E567CF" w:rsidRDefault="00F67BBA" w:rsidP="00F67BBA">
      <w:pPr>
        <w:spacing w:after="120"/>
        <w:jc w:val="both"/>
        <w:rPr>
          <w:rFonts w:ascii="Calibri" w:hAnsi="Calibri" w:cs="Calibri"/>
        </w:rPr>
      </w:pPr>
      <w:r w:rsidRPr="00E567CF">
        <w:rPr>
          <w:rFonts w:ascii="Calibri" w:hAnsi="Calibri" w:cs="Calibri"/>
        </w:rPr>
        <w:t xml:space="preserve">The documentation you provide must evidence the Downtime clearly and convincingly.  It must include, for example, the support incident number(s) and the date, time and duration of the Downtime(s).   </w:t>
      </w:r>
    </w:p>
    <w:p w:rsidR="00F67BBA" w:rsidRPr="00E567CF" w:rsidRDefault="00F67BBA" w:rsidP="00F67BBA">
      <w:pPr>
        <w:spacing w:after="120"/>
        <w:ind w:firstLine="720"/>
        <w:jc w:val="both"/>
        <w:rPr>
          <w:rFonts w:ascii="Calibri" w:hAnsi="Calibri" w:cs="Calibri"/>
        </w:rPr>
      </w:pPr>
      <w:r w:rsidRPr="00E567CF">
        <w:rPr>
          <w:rFonts w:ascii="Calibri" w:hAnsi="Calibri" w:cs="Calibri"/>
        </w:rPr>
        <w:t>b.</w:t>
      </w:r>
      <w:r w:rsidRPr="00E567CF">
        <w:rPr>
          <w:rFonts w:ascii="Calibri" w:hAnsi="Calibri" w:cs="Calibri"/>
        </w:rPr>
        <w:tab/>
      </w:r>
      <w:r w:rsidRPr="00E567CF">
        <w:rPr>
          <w:rFonts w:ascii="Calibri" w:hAnsi="Calibri" w:cs="Calibri"/>
          <w:u w:val="single"/>
        </w:rPr>
        <w:t>Our Responsibilities</w:t>
      </w:r>
    </w:p>
    <w:p w:rsidR="00F67BBA" w:rsidRPr="00E567CF" w:rsidRDefault="00F67BBA" w:rsidP="00F67BBA">
      <w:pPr>
        <w:spacing w:after="120"/>
        <w:jc w:val="both"/>
        <w:rPr>
          <w:rFonts w:ascii="Calibri" w:hAnsi="Calibri" w:cs="Calibri"/>
        </w:rPr>
      </w:pPr>
      <w:r w:rsidRPr="00E567CF">
        <w:rPr>
          <w:rFonts w:ascii="Calibri" w:hAnsi="Calibri" w:cs="Calibri"/>
        </w:rPr>
        <w:t>Upon timely receipt of your Downtime report, we will compare that report to our own outage logs and support tickets to confirm that Downtime for which we were responsible indeed occurred.</w:t>
      </w:r>
    </w:p>
    <w:p w:rsidR="00F67BBA" w:rsidRPr="00E567CF" w:rsidRDefault="00F67BBA" w:rsidP="00F67BBA">
      <w:pPr>
        <w:spacing w:after="120"/>
        <w:jc w:val="both"/>
        <w:rPr>
          <w:rFonts w:ascii="Calibri" w:hAnsi="Calibri" w:cs="Calibri"/>
        </w:rPr>
      </w:pPr>
      <w:r w:rsidRPr="00E567CF">
        <w:rPr>
          <w:rFonts w:ascii="Calibri" w:hAnsi="Calibri" w:cs="Calibri"/>
        </w:rPr>
        <w:t>We will respond to your Downtime report within 30 day(s) of receipt.  To the extent we have confirmed Downtime for which we are responsible, we will provide you with the relief set forth below.</w:t>
      </w:r>
    </w:p>
    <w:p w:rsidR="00F67BBA" w:rsidRPr="00E567CF" w:rsidRDefault="00F67BBA" w:rsidP="00F67BBA">
      <w:pPr>
        <w:pStyle w:val="ListParagraph"/>
        <w:spacing w:after="120"/>
        <w:ind w:left="0" w:firstLine="720"/>
        <w:jc w:val="both"/>
      </w:pPr>
      <w:r w:rsidRPr="00E567CF">
        <w:t xml:space="preserve">c. </w:t>
      </w:r>
      <w:r w:rsidRPr="00E567CF">
        <w:tab/>
      </w:r>
      <w:r w:rsidRPr="00E567CF">
        <w:rPr>
          <w:u w:val="single"/>
        </w:rPr>
        <w:t>Client Relief</w:t>
      </w:r>
    </w:p>
    <w:p w:rsidR="00F67BBA" w:rsidRPr="00E567CF" w:rsidRDefault="00F67BBA" w:rsidP="00F67BBA">
      <w:pPr>
        <w:spacing w:after="120"/>
        <w:jc w:val="both"/>
        <w:rPr>
          <w:rFonts w:ascii="Calibri" w:hAnsi="Calibri" w:cs="Calibri"/>
        </w:rPr>
      </w:pPr>
      <w:r w:rsidRPr="00E567CF">
        <w:rPr>
          <w:rFonts w:ascii="Calibri" w:hAnsi="Calibri" w:cs="Calibri"/>
        </w:rPr>
        <w:t xml:space="preserve">When a Service Availability goal is not met due to confirmed Downtime, we will provide you with relief that corresponds to the percentage amount by which that goal was not achieved, as set forth in the Client Relief Schedule below.  </w:t>
      </w:r>
    </w:p>
    <w:p w:rsidR="00F67BBA" w:rsidRDefault="00F67BBA" w:rsidP="00F67BBA">
      <w:pPr>
        <w:spacing w:after="120"/>
        <w:jc w:val="both"/>
        <w:rPr>
          <w:rFonts w:ascii="Calibri" w:hAnsi="Calibri" w:cs="Calibri"/>
        </w:rPr>
      </w:pPr>
      <w:r w:rsidRPr="00E567CF">
        <w:rPr>
          <w:rFonts w:ascii="Calibri" w:hAnsi="Calibri" w:cs="Calibri"/>
        </w:rPr>
        <w:t xml:space="preserve">Notwithstanding the above, the total amount of all relief that would be due under this SLA per quarter will not exceed 5% of one quarter of the then-current SaaS Fee.  </w:t>
      </w:r>
    </w:p>
    <w:p w:rsidR="00202626" w:rsidRPr="00E567CF" w:rsidRDefault="00202626" w:rsidP="00F67BBA">
      <w:pPr>
        <w:spacing w:after="120"/>
        <w:jc w:val="both"/>
        <w:rPr>
          <w:rFonts w:ascii="Calibri" w:hAnsi="Calibri" w:cs="Calibri"/>
          <w:u w:val="single"/>
        </w:rPr>
      </w:pPr>
      <w:bookmarkStart w:id="0" w:name="_GoBack"/>
      <w:bookmarkEnd w:id="0"/>
    </w:p>
    <w:tbl>
      <w:tblPr>
        <w:tblStyle w:val="TableGrid"/>
        <w:tblW w:w="0" w:type="auto"/>
        <w:tblInd w:w="108" w:type="dxa"/>
        <w:tblLook w:val="04A0" w:firstRow="1" w:lastRow="0" w:firstColumn="1" w:lastColumn="0" w:noHBand="0" w:noVBand="1"/>
      </w:tblPr>
      <w:tblGrid>
        <w:gridCol w:w="2430"/>
        <w:gridCol w:w="2250"/>
        <w:gridCol w:w="4788"/>
      </w:tblGrid>
      <w:tr w:rsidR="00F67BBA" w:rsidRPr="00E567CF" w:rsidTr="001614A8">
        <w:trPr>
          <w:trHeight w:val="296"/>
        </w:trPr>
        <w:tc>
          <w:tcPr>
            <w:tcW w:w="2430" w:type="dxa"/>
            <w:shd w:val="clear" w:color="auto" w:fill="365F91" w:themeFill="accent1" w:themeFillShade="BF"/>
            <w:vAlign w:val="bottom"/>
          </w:tcPr>
          <w:p w:rsidR="00F67BBA" w:rsidRPr="00E567CF" w:rsidRDefault="00F67BBA" w:rsidP="001614A8">
            <w:pPr>
              <w:spacing w:after="120"/>
              <w:ind w:left="-108" w:right="-108"/>
              <w:jc w:val="center"/>
              <w:rPr>
                <w:rFonts w:ascii="Calibri" w:hAnsi="Calibri" w:cs="Calibri"/>
                <w:b/>
              </w:rPr>
            </w:pPr>
            <w:r w:rsidRPr="00E567CF">
              <w:rPr>
                <w:rFonts w:ascii="Calibri" w:hAnsi="Calibri" w:cs="Calibri"/>
                <w:b/>
              </w:rPr>
              <w:lastRenderedPageBreak/>
              <w:t>Targeted Attainment</w:t>
            </w:r>
          </w:p>
        </w:tc>
        <w:tc>
          <w:tcPr>
            <w:tcW w:w="2250" w:type="dxa"/>
            <w:shd w:val="clear" w:color="auto" w:fill="365F91" w:themeFill="accent1" w:themeFillShade="BF"/>
            <w:vAlign w:val="center"/>
          </w:tcPr>
          <w:p w:rsidR="00F67BBA" w:rsidRPr="00E567CF" w:rsidRDefault="00F67BBA" w:rsidP="001614A8">
            <w:pPr>
              <w:spacing w:after="120"/>
              <w:ind w:left="-108" w:right="-108"/>
              <w:jc w:val="center"/>
              <w:rPr>
                <w:rFonts w:ascii="Calibri" w:hAnsi="Calibri" w:cs="Calibri"/>
                <w:b/>
              </w:rPr>
            </w:pPr>
            <w:r w:rsidRPr="00E567CF">
              <w:rPr>
                <w:rFonts w:ascii="Calibri" w:hAnsi="Calibri" w:cs="Calibri"/>
                <w:b/>
              </w:rPr>
              <w:t>Actual Attainment</w:t>
            </w:r>
          </w:p>
        </w:tc>
        <w:tc>
          <w:tcPr>
            <w:tcW w:w="4788" w:type="dxa"/>
            <w:shd w:val="clear" w:color="auto" w:fill="365F91" w:themeFill="accent1" w:themeFillShade="BF"/>
            <w:vAlign w:val="center"/>
          </w:tcPr>
          <w:p w:rsidR="00F67BBA" w:rsidRPr="00E567CF" w:rsidRDefault="00F67BBA" w:rsidP="001614A8">
            <w:pPr>
              <w:spacing w:after="120"/>
              <w:ind w:left="-108"/>
              <w:jc w:val="center"/>
              <w:rPr>
                <w:rFonts w:ascii="Calibri" w:hAnsi="Calibri" w:cs="Calibri"/>
                <w:b/>
              </w:rPr>
            </w:pPr>
            <w:r w:rsidRPr="00E567CF">
              <w:rPr>
                <w:rFonts w:ascii="Calibri" w:hAnsi="Calibri" w:cs="Calibri"/>
                <w:b/>
              </w:rPr>
              <w:t>Client Relief</w:t>
            </w:r>
          </w:p>
        </w:tc>
      </w:tr>
      <w:tr w:rsidR="00F67BBA" w:rsidRPr="00E567CF" w:rsidTr="001614A8">
        <w:trPr>
          <w:trHeight w:val="584"/>
        </w:trPr>
        <w:tc>
          <w:tcPr>
            <w:tcW w:w="2430" w:type="dxa"/>
            <w:vAlign w:val="center"/>
          </w:tcPr>
          <w:p w:rsidR="00F67BBA" w:rsidRPr="00E567CF" w:rsidRDefault="00F67BBA" w:rsidP="001614A8">
            <w:pPr>
              <w:spacing w:after="120"/>
              <w:ind w:left="360"/>
              <w:rPr>
                <w:rFonts w:ascii="Calibri" w:hAnsi="Calibri" w:cs="Calibri"/>
              </w:rPr>
            </w:pPr>
            <w:r w:rsidRPr="00E567CF">
              <w:rPr>
                <w:rFonts w:ascii="Calibri" w:hAnsi="Calibri" w:cs="Calibri"/>
              </w:rPr>
              <w:t>100%</w:t>
            </w:r>
          </w:p>
        </w:tc>
        <w:tc>
          <w:tcPr>
            <w:tcW w:w="2250" w:type="dxa"/>
            <w:vAlign w:val="center"/>
          </w:tcPr>
          <w:p w:rsidR="00F67BBA" w:rsidRPr="00E567CF" w:rsidRDefault="00F67BBA" w:rsidP="001614A8">
            <w:pPr>
              <w:spacing w:after="120"/>
              <w:ind w:left="360"/>
              <w:rPr>
                <w:rFonts w:ascii="Calibri" w:hAnsi="Calibri" w:cs="Calibri"/>
              </w:rPr>
            </w:pPr>
            <w:r w:rsidRPr="00E567CF">
              <w:rPr>
                <w:rFonts w:ascii="Calibri" w:hAnsi="Calibri" w:cs="Calibri"/>
              </w:rPr>
              <w:t>98-99%</w:t>
            </w:r>
          </w:p>
        </w:tc>
        <w:tc>
          <w:tcPr>
            <w:tcW w:w="4788" w:type="dxa"/>
            <w:vAlign w:val="center"/>
          </w:tcPr>
          <w:p w:rsidR="00F67BBA" w:rsidRPr="00E567CF" w:rsidRDefault="00F67BBA" w:rsidP="001614A8">
            <w:pPr>
              <w:spacing w:after="120"/>
              <w:ind w:left="360"/>
              <w:rPr>
                <w:rFonts w:ascii="Calibri" w:hAnsi="Calibri" w:cs="Calibri"/>
              </w:rPr>
            </w:pPr>
            <w:r w:rsidRPr="00E567CF">
              <w:rPr>
                <w:rFonts w:ascii="Calibri" w:hAnsi="Calibri" w:cs="Calibri"/>
              </w:rPr>
              <w:t>Remedial action will be taken.</w:t>
            </w:r>
          </w:p>
        </w:tc>
      </w:tr>
      <w:tr w:rsidR="00F67BBA" w:rsidRPr="00E567CF" w:rsidTr="001614A8">
        <w:tc>
          <w:tcPr>
            <w:tcW w:w="2430" w:type="dxa"/>
            <w:vAlign w:val="center"/>
          </w:tcPr>
          <w:p w:rsidR="00F67BBA" w:rsidRPr="00E567CF" w:rsidRDefault="00F67BBA" w:rsidP="001614A8">
            <w:pPr>
              <w:spacing w:after="120"/>
              <w:ind w:left="360"/>
              <w:rPr>
                <w:rFonts w:ascii="Calibri" w:hAnsi="Calibri" w:cs="Calibri"/>
              </w:rPr>
            </w:pPr>
            <w:r w:rsidRPr="00E567CF">
              <w:rPr>
                <w:rFonts w:ascii="Calibri" w:hAnsi="Calibri" w:cs="Calibri"/>
              </w:rPr>
              <w:t>100%</w:t>
            </w:r>
          </w:p>
        </w:tc>
        <w:tc>
          <w:tcPr>
            <w:tcW w:w="2250" w:type="dxa"/>
            <w:vAlign w:val="center"/>
          </w:tcPr>
          <w:p w:rsidR="00F67BBA" w:rsidRPr="00E567CF" w:rsidRDefault="00F67BBA" w:rsidP="001614A8">
            <w:pPr>
              <w:spacing w:after="120"/>
              <w:ind w:left="360"/>
              <w:rPr>
                <w:rFonts w:ascii="Calibri" w:hAnsi="Calibri" w:cs="Calibri"/>
              </w:rPr>
            </w:pPr>
            <w:r w:rsidRPr="00E567CF">
              <w:rPr>
                <w:rFonts w:ascii="Calibri" w:hAnsi="Calibri" w:cs="Calibri"/>
              </w:rPr>
              <w:t>95-97%</w:t>
            </w:r>
          </w:p>
        </w:tc>
        <w:tc>
          <w:tcPr>
            <w:tcW w:w="4788" w:type="dxa"/>
            <w:vAlign w:val="center"/>
          </w:tcPr>
          <w:p w:rsidR="00F67BBA" w:rsidRPr="00E567CF" w:rsidRDefault="00F67BBA" w:rsidP="001614A8">
            <w:pPr>
              <w:spacing w:after="120"/>
              <w:ind w:left="360"/>
              <w:rPr>
                <w:rFonts w:ascii="Calibri" w:hAnsi="Calibri" w:cs="Calibri"/>
              </w:rPr>
            </w:pPr>
            <w:r w:rsidRPr="00E567CF">
              <w:rPr>
                <w:rFonts w:ascii="Calibri" w:hAnsi="Calibri" w:cs="Calibri"/>
              </w:rPr>
              <w:t>4% credit of fee for affected calendar quarter will be posted to next billing cycle</w:t>
            </w:r>
          </w:p>
        </w:tc>
      </w:tr>
      <w:tr w:rsidR="00F67BBA" w:rsidRPr="00E567CF" w:rsidTr="001614A8">
        <w:trPr>
          <w:trHeight w:val="593"/>
        </w:trPr>
        <w:tc>
          <w:tcPr>
            <w:tcW w:w="2430" w:type="dxa"/>
            <w:vAlign w:val="center"/>
          </w:tcPr>
          <w:p w:rsidR="00F67BBA" w:rsidRPr="00E567CF" w:rsidRDefault="00F67BBA" w:rsidP="001614A8">
            <w:pPr>
              <w:spacing w:after="120"/>
              <w:ind w:left="360"/>
              <w:rPr>
                <w:rFonts w:ascii="Calibri" w:hAnsi="Calibri" w:cs="Calibri"/>
              </w:rPr>
            </w:pPr>
            <w:r w:rsidRPr="00E567CF">
              <w:rPr>
                <w:rFonts w:ascii="Calibri" w:hAnsi="Calibri" w:cs="Calibri"/>
              </w:rPr>
              <w:t>100%</w:t>
            </w:r>
          </w:p>
        </w:tc>
        <w:tc>
          <w:tcPr>
            <w:tcW w:w="2250" w:type="dxa"/>
            <w:vAlign w:val="center"/>
          </w:tcPr>
          <w:p w:rsidR="00F67BBA" w:rsidRPr="00E567CF" w:rsidRDefault="00F67BBA" w:rsidP="001614A8">
            <w:pPr>
              <w:spacing w:after="120"/>
              <w:ind w:left="360"/>
              <w:rPr>
                <w:rFonts w:ascii="Calibri" w:hAnsi="Calibri" w:cs="Calibri"/>
              </w:rPr>
            </w:pPr>
            <w:r w:rsidRPr="00E567CF">
              <w:rPr>
                <w:rFonts w:ascii="Calibri" w:hAnsi="Calibri" w:cs="Calibri"/>
              </w:rPr>
              <w:t>&lt;95%</w:t>
            </w:r>
          </w:p>
        </w:tc>
        <w:tc>
          <w:tcPr>
            <w:tcW w:w="4788" w:type="dxa"/>
            <w:vAlign w:val="center"/>
          </w:tcPr>
          <w:p w:rsidR="00F67BBA" w:rsidRPr="00E567CF" w:rsidRDefault="00F67BBA" w:rsidP="001614A8">
            <w:pPr>
              <w:spacing w:after="120"/>
              <w:ind w:left="360"/>
              <w:rPr>
                <w:rFonts w:ascii="Calibri" w:hAnsi="Calibri" w:cs="Calibri"/>
              </w:rPr>
            </w:pPr>
            <w:r w:rsidRPr="00E567CF">
              <w:rPr>
                <w:rFonts w:ascii="Calibri" w:hAnsi="Calibri" w:cs="Calibri"/>
              </w:rPr>
              <w:t>5% credit of fee for affected calendar quarter will be posted to next billing cycle</w:t>
            </w:r>
          </w:p>
        </w:tc>
      </w:tr>
    </w:tbl>
    <w:p w:rsidR="00F67BBA" w:rsidRPr="00E567CF" w:rsidRDefault="00F67BBA" w:rsidP="00F67BBA">
      <w:pPr>
        <w:ind w:left="360"/>
        <w:jc w:val="both"/>
        <w:rPr>
          <w:rFonts w:ascii="Calibri" w:hAnsi="Calibri" w:cs="Calibri"/>
        </w:rPr>
      </w:pPr>
    </w:p>
    <w:p w:rsidR="00F67BBA" w:rsidRDefault="00F67BBA" w:rsidP="00F67BBA">
      <w:pPr>
        <w:jc w:val="both"/>
        <w:rPr>
          <w:rFonts w:ascii="Calibri" w:hAnsi="Calibri" w:cs="Calibri"/>
          <w:b/>
        </w:rPr>
      </w:pPr>
      <w:r w:rsidRPr="00E567CF">
        <w:rPr>
          <w:rFonts w:ascii="Calibri" w:hAnsi="Calibri" w:cs="Calibri"/>
          <w:b/>
        </w:rPr>
        <w:t>Applicability</w:t>
      </w:r>
    </w:p>
    <w:p w:rsidR="00F67BBA" w:rsidRPr="00E567CF" w:rsidRDefault="00F67BBA" w:rsidP="00F67BBA">
      <w:pPr>
        <w:ind w:right="144"/>
        <w:jc w:val="both"/>
        <w:rPr>
          <w:rFonts w:ascii="Calibri" w:hAnsi="Calibri" w:cs="Calibri"/>
        </w:rPr>
      </w:pPr>
      <w:r w:rsidRPr="00E567CF">
        <w:rPr>
          <w:rFonts w:ascii="Calibri" w:hAnsi="Calibri" w:cs="Calibri"/>
        </w:rPr>
        <w:t xml:space="preserve">The commitments set forth in this SLA do not apply during maintenance windows, Client Error Incidents, and Force Majeure.  </w:t>
      </w:r>
    </w:p>
    <w:p w:rsidR="00F67BBA" w:rsidRDefault="00F67BBA" w:rsidP="00F67BBA">
      <w:pPr>
        <w:ind w:right="144"/>
        <w:jc w:val="both"/>
        <w:rPr>
          <w:rFonts w:ascii="Calibri" w:hAnsi="Calibri" w:cs="Calibri"/>
        </w:rPr>
      </w:pPr>
      <w:r w:rsidRPr="00E567CF">
        <w:rPr>
          <w:rFonts w:ascii="Calibri" w:hAnsi="Calibri" w:cs="Calibri"/>
        </w:rPr>
        <w:t>We perform maintenance during limited windows that are historically known to be reliably low-traffic times.  If and when maintenance is predicted to occur during periods of higher traffic, we will provide advance notice of those windows and will coordinate to the greatest extent possible with you.</w:t>
      </w:r>
    </w:p>
    <w:p w:rsidR="00F67BBA" w:rsidRPr="00E567CF" w:rsidRDefault="00F67BBA" w:rsidP="00F67BBA">
      <w:pPr>
        <w:jc w:val="both"/>
        <w:rPr>
          <w:rFonts w:ascii="Calibri" w:hAnsi="Calibri" w:cs="Calibri"/>
          <w:b/>
        </w:rPr>
      </w:pPr>
      <w:r w:rsidRPr="00E567CF">
        <w:rPr>
          <w:rFonts w:ascii="Calibri" w:hAnsi="Calibri" w:cs="Calibri"/>
          <w:b/>
        </w:rPr>
        <w:t>Force Majeure</w:t>
      </w:r>
    </w:p>
    <w:p w:rsidR="00F67BBA" w:rsidRDefault="00F67BBA" w:rsidP="00F67BBA">
      <w:pPr>
        <w:rPr>
          <w:rFonts w:ascii="Calibri" w:hAnsi="Calibri" w:cs="Calibri"/>
        </w:rPr>
      </w:pPr>
      <w:r w:rsidRPr="00E567CF">
        <w:rPr>
          <w:rFonts w:ascii="Calibri" w:hAnsi="Calibri" w:cs="Calibri"/>
        </w:rPr>
        <w:t>You will not hold us responsible for not meeting service levels outlined in this SLA to the extent any failure to do so is caused by Force Majeure.</w:t>
      </w:r>
      <w:r>
        <w:rPr>
          <w:rFonts w:ascii="Calibri" w:hAnsi="Calibri" w:cs="Calibri"/>
        </w:rPr>
        <w:t xml:space="preserve"> </w:t>
      </w:r>
      <w:r w:rsidRPr="00F67BBA">
        <w:rPr>
          <w:rFonts w:ascii="Calibri" w:hAnsi="Calibri" w:cs="Calibri"/>
        </w:rPr>
        <w:t>“Force Majeure” means an event beyond the reasonable control of you or us, including, without limitation, governmental action, war, riot or civil commotion, fire, natural disaster, or any other</w:t>
      </w:r>
      <w:r>
        <w:rPr>
          <w:rFonts w:ascii="Calibri" w:hAnsi="Calibri" w:cs="Calibri"/>
        </w:rPr>
        <w:t xml:space="preserve"> </w:t>
      </w:r>
      <w:r w:rsidRPr="00F67BBA">
        <w:rPr>
          <w:rFonts w:ascii="Calibri" w:hAnsi="Calibri" w:cs="Calibri"/>
        </w:rPr>
        <w:t>cause that could not with reasonable diligence be foreseen or prevented by you or us.</w:t>
      </w:r>
    </w:p>
    <w:p w:rsidR="00F67BBA" w:rsidRPr="00F67BBA" w:rsidRDefault="00F67BBA" w:rsidP="00F67BBA">
      <w:pPr>
        <w:jc w:val="both"/>
        <w:rPr>
          <w:rFonts w:ascii="Calibri" w:hAnsi="Calibri" w:cs="Calibri"/>
          <w:b/>
        </w:rPr>
      </w:pPr>
      <w:r w:rsidRPr="00F67BBA">
        <w:rPr>
          <w:rFonts w:ascii="Calibri" w:hAnsi="Calibri" w:cs="Calibri"/>
          <w:b/>
        </w:rPr>
        <w:t xml:space="preserve">Disaster Recovery </w:t>
      </w:r>
    </w:p>
    <w:p w:rsidR="00F67BBA" w:rsidRPr="00E567CF" w:rsidRDefault="00F67BBA" w:rsidP="00F67BBA">
      <w:pPr>
        <w:widowControl w:val="0"/>
        <w:tabs>
          <w:tab w:val="left" w:pos="270"/>
          <w:tab w:val="left" w:pos="720"/>
        </w:tabs>
      </w:pPr>
      <w:r w:rsidRPr="00E567CF">
        <w:t>In the event any of your Data has been lost or damag</w:t>
      </w:r>
      <w:r>
        <w:t xml:space="preserve">ed due to an act or omission by us or our </w:t>
      </w:r>
      <w:r w:rsidRPr="00E567CF">
        <w:t xml:space="preserve">subcontractors or due to a defect in </w:t>
      </w:r>
      <w:r>
        <w:t xml:space="preserve">the </w:t>
      </w:r>
      <w:r w:rsidRPr="00E567CF">
        <w:t xml:space="preserve">software, we will use best commercial efforts to restore all the Data on servers in accordance with the architectural design’s capabilities and with the goal of minimizing any Data loss as greatly as possible.  In no case shall the recovery point objective (“RPO”) exceed a maximum of twenty-four (24) hours </w:t>
      </w:r>
      <w:r>
        <w:t xml:space="preserve">from declaration of disaster. </w:t>
      </w:r>
      <w:r w:rsidRPr="00E567CF">
        <w:t xml:space="preserve"> </w:t>
      </w:r>
    </w:p>
    <w:p w:rsidR="00F67BBA" w:rsidRPr="00E567CF" w:rsidRDefault="00F67BBA" w:rsidP="00F67BBA">
      <w:pPr>
        <w:widowControl w:val="0"/>
        <w:tabs>
          <w:tab w:val="left" w:pos="270"/>
          <w:tab w:val="left" w:pos="720"/>
        </w:tabs>
      </w:pPr>
      <w:r w:rsidRPr="00E567CF">
        <w:t>In the event we declare a disaster, our Recovery Time Objective (“RTO”) is twenty-four (24) hours.  For purposes of this subsection, RTO represents the amount of time, after we declare a disaster, within which your access to the Software must be restored.</w:t>
      </w:r>
    </w:p>
    <w:p w:rsidR="00F67BBA" w:rsidRPr="004D7CAD" w:rsidRDefault="00F67BBA" w:rsidP="00F67BBA">
      <w:pPr>
        <w:rPr>
          <w:rFonts w:eastAsiaTheme="majorEastAsia" w:cstheme="minorHAnsi"/>
          <w:b/>
          <w:bCs/>
          <w:color w:val="365F91" w:themeColor="accent1" w:themeShade="BF"/>
          <w:sz w:val="28"/>
          <w:szCs w:val="28"/>
        </w:rPr>
      </w:pPr>
    </w:p>
    <w:sectPr w:rsidR="00F67BBA" w:rsidRPr="004D7CAD" w:rsidSect="004D7CA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708" w:rsidRDefault="00B51708" w:rsidP="00AC47FD">
      <w:pPr>
        <w:spacing w:after="0" w:line="240" w:lineRule="auto"/>
      </w:pPr>
      <w:r>
        <w:separator/>
      </w:r>
    </w:p>
  </w:endnote>
  <w:endnote w:type="continuationSeparator" w:id="0">
    <w:p w:rsidR="00B51708" w:rsidRDefault="00B51708" w:rsidP="00AC4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94A" w:rsidRDefault="00EF394A" w:rsidP="00AC47FD">
    <w:pPr>
      <w:pStyle w:val="Footer"/>
      <w:jc w:val="center"/>
    </w:pPr>
    <w:r>
      <w:t xml:space="preserve">Page </w:t>
    </w:r>
    <w:r>
      <w:rPr>
        <w:b/>
      </w:rPr>
      <w:fldChar w:fldCharType="begin"/>
    </w:r>
    <w:r>
      <w:rPr>
        <w:b/>
      </w:rPr>
      <w:instrText xml:space="preserve"> PAGE  \* Arabic  \* MERGEFORMAT </w:instrText>
    </w:r>
    <w:r>
      <w:rPr>
        <w:b/>
      </w:rPr>
      <w:fldChar w:fldCharType="separate"/>
    </w:r>
    <w:r w:rsidR="00202626">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202626">
      <w:rPr>
        <w:b/>
        <w:noProof/>
      </w:rPr>
      <w:t>3</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708" w:rsidRDefault="00B51708" w:rsidP="00AC47FD">
      <w:pPr>
        <w:spacing w:after="0" w:line="240" w:lineRule="auto"/>
      </w:pPr>
      <w:r>
        <w:separator/>
      </w:r>
    </w:p>
  </w:footnote>
  <w:footnote w:type="continuationSeparator" w:id="0">
    <w:p w:rsidR="00B51708" w:rsidRDefault="00B51708" w:rsidP="00AC4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394A" w:rsidTr="00DD3F81">
      <w:tc>
        <w:tcPr>
          <w:tcW w:w="648" w:type="dxa"/>
        </w:tcPr>
        <w:p w:rsidR="00EF394A" w:rsidRDefault="00EF394A">
          <w:pPr>
            <w:pStyle w:val="Header"/>
          </w:pPr>
          <w:r>
            <w:rPr>
              <w:rFonts w:ascii="Arial" w:hAnsi="Arial" w:cs="Arial"/>
              <w:noProof/>
            </w:rPr>
            <w:drawing>
              <wp:inline distT="0" distB="0" distL="0" distR="0" wp14:anchorId="4E653C1D" wp14:editId="1CBFFC6E">
                <wp:extent cx="201685" cy="232914"/>
                <wp:effectExtent l="0" t="0" r="8255" b="0"/>
                <wp:docPr id="37" name="Picture 37" descr="GFOA logo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OA logo -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944" cy="234368"/>
                        </a:xfrm>
                        <a:prstGeom prst="rect">
                          <a:avLst/>
                        </a:prstGeom>
                        <a:noFill/>
                        <a:ln>
                          <a:noFill/>
                        </a:ln>
                      </pic:spPr>
                    </pic:pic>
                  </a:graphicData>
                </a:graphic>
              </wp:inline>
            </w:drawing>
          </w:r>
        </w:p>
      </w:tc>
      <w:tc>
        <w:tcPr>
          <w:tcW w:w="8928" w:type="dxa"/>
        </w:tcPr>
        <w:p w:rsidR="00EF394A" w:rsidRPr="00DD3F81" w:rsidRDefault="00EF394A" w:rsidP="00162B9F">
          <w:pPr>
            <w:pStyle w:val="Header"/>
            <w:rPr>
              <w:b/>
            </w:rPr>
          </w:pPr>
          <w:r>
            <w:rPr>
              <w:b/>
            </w:rPr>
            <w:t xml:space="preserve">GFOA ERP </w:t>
          </w:r>
          <w:r w:rsidR="00162B9F">
            <w:rPr>
              <w:b/>
            </w:rPr>
            <w:t xml:space="preserve">Exercise </w:t>
          </w:r>
          <w:r>
            <w:rPr>
              <w:b/>
            </w:rPr>
            <w:t>Packet</w:t>
          </w:r>
        </w:p>
      </w:tc>
    </w:tr>
  </w:tbl>
  <w:p w:rsidR="00EF394A" w:rsidRDefault="00EF3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6C04"/>
    <w:multiLevelType w:val="hybridMultilevel"/>
    <w:tmpl w:val="4EBC1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C2560"/>
    <w:multiLevelType w:val="hybridMultilevel"/>
    <w:tmpl w:val="4A4CD88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A1A8F"/>
    <w:multiLevelType w:val="hybridMultilevel"/>
    <w:tmpl w:val="7EB437F6"/>
    <w:lvl w:ilvl="0" w:tplc="CBC49EC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3540F"/>
    <w:multiLevelType w:val="hybridMultilevel"/>
    <w:tmpl w:val="46C0AC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C95B96"/>
    <w:multiLevelType w:val="hybridMultilevel"/>
    <w:tmpl w:val="329A9E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A6DA2"/>
    <w:multiLevelType w:val="hybridMultilevel"/>
    <w:tmpl w:val="5D7A9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C2C6C"/>
    <w:multiLevelType w:val="hybridMultilevel"/>
    <w:tmpl w:val="BB0677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1429C"/>
    <w:multiLevelType w:val="hybridMultilevel"/>
    <w:tmpl w:val="E124E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D13E3D"/>
    <w:multiLevelType w:val="hybridMultilevel"/>
    <w:tmpl w:val="D94A9790"/>
    <w:lvl w:ilvl="0" w:tplc="08C4CBCE">
      <w:start w:val="1"/>
      <w:numFmt w:val="bullet"/>
      <w:lvlText w:val="o"/>
      <w:lvlJc w:val="left"/>
      <w:pPr>
        <w:tabs>
          <w:tab w:val="num" w:pos="720"/>
        </w:tabs>
        <w:ind w:left="720" w:hanging="360"/>
      </w:pPr>
      <w:rPr>
        <w:rFonts w:ascii="Courier New" w:hAnsi="Courier New" w:hint="default"/>
      </w:rPr>
    </w:lvl>
    <w:lvl w:ilvl="1" w:tplc="3C9CB5CA">
      <w:start w:val="270"/>
      <w:numFmt w:val="bullet"/>
      <w:lvlText w:val=""/>
      <w:lvlJc w:val="left"/>
      <w:pPr>
        <w:tabs>
          <w:tab w:val="num" w:pos="1440"/>
        </w:tabs>
        <w:ind w:left="1440" w:hanging="360"/>
      </w:pPr>
      <w:rPr>
        <w:rFonts w:ascii="Wingdings" w:hAnsi="Wingdings" w:hint="default"/>
      </w:rPr>
    </w:lvl>
    <w:lvl w:ilvl="2" w:tplc="B8004A2C" w:tentative="1">
      <w:start w:val="1"/>
      <w:numFmt w:val="bullet"/>
      <w:lvlText w:val="o"/>
      <w:lvlJc w:val="left"/>
      <w:pPr>
        <w:tabs>
          <w:tab w:val="num" w:pos="2160"/>
        </w:tabs>
        <w:ind w:left="2160" w:hanging="360"/>
      </w:pPr>
      <w:rPr>
        <w:rFonts w:ascii="Courier New" w:hAnsi="Courier New" w:hint="default"/>
      </w:rPr>
    </w:lvl>
    <w:lvl w:ilvl="3" w:tplc="EB942094" w:tentative="1">
      <w:start w:val="1"/>
      <w:numFmt w:val="bullet"/>
      <w:lvlText w:val="o"/>
      <w:lvlJc w:val="left"/>
      <w:pPr>
        <w:tabs>
          <w:tab w:val="num" w:pos="2880"/>
        </w:tabs>
        <w:ind w:left="2880" w:hanging="360"/>
      </w:pPr>
      <w:rPr>
        <w:rFonts w:ascii="Courier New" w:hAnsi="Courier New" w:hint="default"/>
      </w:rPr>
    </w:lvl>
    <w:lvl w:ilvl="4" w:tplc="1AEAEB64" w:tentative="1">
      <w:start w:val="1"/>
      <w:numFmt w:val="bullet"/>
      <w:lvlText w:val="o"/>
      <w:lvlJc w:val="left"/>
      <w:pPr>
        <w:tabs>
          <w:tab w:val="num" w:pos="3600"/>
        </w:tabs>
        <w:ind w:left="3600" w:hanging="360"/>
      </w:pPr>
      <w:rPr>
        <w:rFonts w:ascii="Courier New" w:hAnsi="Courier New" w:hint="default"/>
      </w:rPr>
    </w:lvl>
    <w:lvl w:ilvl="5" w:tplc="1B2CCDAC" w:tentative="1">
      <w:start w:val="1"/>
      <w:numFmt w:val="bullet"/>
      <w:lvlText w:val="o"/>
      <w:lvlJc w:val="left"/>
      <w:pPr>
        <w:tabs>
          <w:tab w:val="num" w:pos="4320"/>
        </w:tabs>
        <w:ind w:left="4320" w:hanging="360"/>
      </w:pPr>
      <w:rPr>
        <w:rFonts w:ascii="Courier New" w:hAnsi="Courier New" w:hint="default"/>
      </w:rPr>
    </w:lvl>
    <w:lvl w:ilvl="6" w:tplc="D5388170" w:tentative="1">
      <w:start w:val="1"/>
      <w:numFmt w:val="bullet"/>
      <w:lvlText w:val="o"/>
      <w:lvlJc w:val="left"/>
      <w:pPr>
        <w:tabs>
          <w:tab w:val="num" w:pos="5040"/>
        </w:tabs>
        <w:ind w:left="5040" w:hanging="360"/>
      </w:pPr>
      <w:rPr>
        <w:rFonts w:ascii="Courier New" w:hAnsi="Courier New" w:hint="default"/>
      </w:rPr>
    </w:lvl>
    <w:lvl w:ilvl="7" w:tplc="0722E084" w:tentative="1">
      <w:start w:val="1"/>
      <w:numFmt w:val="bullet"/>
      <w:lvlText w:val="o"/>
      <w:lvlJc w:val="left"/>
      <w:pPr>
        <w:tabs>
          <w:tab w:val="num" w:pos="5760"/>
        </w:tabs>
        <w:ind w:left="5760" w:hanging="360"/>
      </w:pPr>
      <w:rPr>
        <w:rFonts w:ascii="Courier New" w:hAnsi="Courier New" w:hint="default"/>
      </w:rPr>
    </w:lvl>
    <w:lvl w:ilvl="8" w:tplc="BE7AC900"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47FE1892"/>
    <w:multiLevelType w:val="hybridMultilevel"/>
    <w:tmpl w:val="18A4AAD0"/>
    <w:lvl w:ilvl="0" w:tplc="7F60F30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EA63E8"/>
    <w:multiLevelType w:val="multilevel"/>
    <w:tmpl w:val="F39435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4C365AA"/>
    <w:multiLevelType w:val="hybridMultilevel"/>
    <w:tmpl w:val="81B21F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B42BDE"/>
    <w:multiLevelType w:val="hybridMultilevel"/>
    <w:tmpl w:val="A8BCD2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5E1869"/>
    <w:multiLevelType w:val="hybridMultilevel"/>
    <w:tmpl w:val="2116CB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206FE5"/>
    <w:multiLevelType w:val="hybridMultilevel"/>
    <w:tmpl w:val="4B7C222C"/>
    <w:lvl w:ilvl="0" w:tplc="688C570E">
      <w:start w:val="1"/>
      <w:numFmt w:val="bullet"/>
      <w:pStyle w:val="TextBullet"/>
      <w:lvlText w:val=""/>
      <w:lvlJc w:val="left"/>
      <w:pPr>
        <w:tabs>
          <w:tab w:val="num" w:pos="720"/>
        </w:tabs>
        <w:ind w:left="720" w:hanging="360"/>
      </w:pPr>
      <w:rPr>
        <w:rFonts w:ascii="Symbol" w:hAnsi="Symbol" w:hint="default"/>
      </w:rPr>
    </w:lvl>
    <w:lvl w:ilvl="1" w:tplc="1592F19E">
      <w:start w:val="1"/>
      <w:numFmt w:val="bullet"/>
      <w:lvlText w:val="o"/>
      <w:lvlJc w:val="left"/>
      <w:pPr>
        <w:tabs>
          <w:tab w:val="num" w:pos="1440"/>
        </w:tabs>
        <w:ind w:left="1440" w:hanging="360"/>
      </w:pPr>
      <w:rPr>
        <w:rFonts w:ascii="Courier New" w:hAnsi="Courier New" w:cs="Courier New" w:hint="default"/>
      </w:rPr>
    </w:lvl>
    <w:lvl w:ilvl="2" w:tplc="E304C44C">
      <w:start w:val="1"/>
      <w:numFmt w:val="bullet"/>
      <w:lvlText w:val=""/>
      <w:lvlJc w:val="left"/>
      <w:pPr>
        <w:tabs>
          <w:tab w:val="num" w:pos="2160"/>
        </w:tabs>
        <w:ind w:left="2160" w:hanging="360"/>
      </w:pPr>
      <w:rPr>
        <w:rFonts w:ascii="Wingdings" w:hAnsi="Wingdings" w:hint="default"/>
      </w:rPr>
    </w:lvl>
    <w:lvl w:ilvl="3" w:tplc="424E0E22">
      <w:start w:val="1"/>
      <w:numFmt w:val="bullet"/>
      <w:lvlText w:val=""/>
      <w:lvlJc w:val="left"/>
      <w:pPr>
        <w:tabs>
          <w:tab w:val="num" w:pos="2880"/>
        </w:tabs>
        <w:ind w:left="2880" w:hanging="360"/>
      </w:pPr>
      <w:rPr>
        <w:rFonts w:ascii="Symbol" w:hAnsi="Symbol" w:hint="default"/>
      </w:rPr>
    </w:lvl>
    <w:lvl w:ilvl="4" w:tplc="A42E1EA2">
      <w:start w:val="1"/>
      <w:numFmt w:val="bullet"/>
      <w:lvlText w:val="o"/>
      <w:lvlJc w:val="left"/>
      <w:pPr>
        <w:tabs>
          <w:tab w:val="num" w:pos="3600"/>
        </w:tabs>
        <w:ind w:left="3600" w:hanging="360"/>
      </w:pPr>
      <w:rPr>
        <w:rFonts w:ascii="Courier New" w:hAnsi="Courier New" w:cs="Courier New" w:hint="default"/>
      </w:rPr>
    </w:lvl>
    <w:lvl w:ilvl="5" w:tplc="A844CF48">
      <w:start w:val="1"/>
      <w:numFmt w:val="bullet"/>
      <w:lvlText w:val=""/>
      <w:lvlJc w:val="left"/>
      <w:pPr>
        <w:tabs>
          <w:tab w:val="num" w:pos="4320"/>
        </w:tabs>
        <w:ind w:left="4320" w:hanging="360"/>
      </w:pPr>
      <w:rPr>
        <w:rFonts w:ascii="Wingdings" w:hAnsi="Wingdings" w:hint="default"/>
      </w:rPr>
    </w:lvl>
    <w:lvl w:ilvl="6" w:tplc="793A1D34">
      <w:start w:val="1"/>
      <w:numFmt w:val="bullet"/>
      <w:lvlText w:val=""/>
      <w:lvlJc w:val="left"/>
      <w:pPr>
        <w:tabs>
          <w:tab w:val="num" w:pos="5040"/>
        </w:tabs>
        <w:ind w:left="5040" w:hanging="360"/>
      </w:pPr>
      <w:rPr>
        <w:rFonts w:ascii="Symbol" w:hAnsi="Symbol" w:hint="default"/>
      </w:rPr>
    </w:lvl>
    <w:lvl w:ilvl="7" w:tplc="A796D92C">
      <w:start w:val="1"/>
      <w:numFmt w:val="bullet"/>
      <w:lvlText w:val="o"/>
      <w:lvlJc w:val="left"/>
      <w:pPr>
        <w:tabs>
          <w:tab w:val="num" w:pos="5760"/>
        </w:tabs>
        <w:ind w:left="5760" w:hanging="360"/>
      </w:pPr>
      <w:rPr>
        <w:rFonts w:ascii="Courier New" w:hAnsi="Courier New" w:cs="Courier New" w:hint="default"/>
      </w:rPr>
    </w:lvl>
    <w:lvl w:ilvl="8" w:tplc="26DADF3C">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11"/>
  </w:num>
  <w:num w:numId="5">
    <w:abstractNumId w:val="13"/>
  </w:num>
  <w:num w:numId="6">
    <w:abstractNumId w:val="7"/>
  </w:num>
  <w:num w:numId="7">
    <w:abstractNumId w:val="4"/>
  </w:num>
  <w:num w:numId="8">
    <w:abstractNumId w:val="9"/>
  </w:num>
  <w:num w:numId="9">
    <w:abstractNumId w:val="1"/>
  </w:num>
  <w:num w:numId="10">
    <w:abstractNumId w:val="8"/>
  </w:num>
  <w:num w:numId="11">
    <w:abstractNumId w:val="14"/>
  </w:num>
  <w:num w:numId="12">
    <w:abstractNumId w:val="2"/>
  </w:num>
  <w:num w:numId="13">
    <w:abstractNumId w:val="2"/>
  </w:num>
  <w:num w:numId="14">
    <w:abstractNumId w:val="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8A7"/>
    <w:rsid w:val="00076267"/>
    <w:rsid w:val="00095084"/>
    <w:rsid w:val="000A659A"/>
    <w:rsid w:val="000F7D16"/>
    <w:rsid w:val="0016183D"/>
    <w:rsid w:val="00162B9F"/>
    <w:rsid w:val="001923E9"/>
    <w:rsid w:val="001A6930"/>
    <w:rsid w:val="001B22B8"/>
    <w:rsid w:val="001B4D1B"/>
    <w:rsid w:val="001C121B"/>
    <w:rsid w:val="00202626"/>
    <w:rsid w:val="00247BF5"/>
    <w:rsid w:val="002508FA"/>
    <w:rsid w:val="0025307A"/>
    <w:rsid w:val="002A0759"/>
    <w:rsid w:val="002B54A4"/>
    <w:rsid w:val="002C3582"/>
    <w:rsid w:val="003302E7"/>
    <w:rsid w:val="00380923"/>
    <w:rsid w:val="003C7B86"/>
    <w:rsid w:val="004C0860"/>
    <w:rsid w:val="004D456B"/>
    <w:rsid w:val="004D7CAD"/>
    <w:rsid w:val="00507F53"/>
    <w:rsid w:val="0053658B"/>
    <w:rsid w:val="0059093C"/>
    <w:rsid w:val="005D51DF"/>
    <w:rsid w:val="00612905"/>
    <w:rsid w:val="006505E6"/>
    <w:rsid w:val="00676E71"/>
    <w:rsid w:val="00743055"/>
    <w:rsid w:val="008E3E6F"/>
    <w:rsid w:val="008F7C23"/>
    <w:rsid w:val="009A4AAB"/>
    <w:rsid w:val="00A3689B"/>
    <w:rsid w:val="00A62C9D"/>
    <w:rsid w:val="00AC47FD"/>
    <w:rsid w:val="00B506E6"/>
    <w:rsid w:val="00B51708"/>
    <w:rsid w:val="00BA5FA5"/>
    <w:rsid w:val="00BB2A14"/>
    <w:rsid w:val="00BB67A1"/>
    <w:rsid w:val="00BD4734"/>
    <w:rsid w:val="00C76033"/>
    <w:rsid w:val="00C904B6"/>
    <w:rsid w:val="00CC0C4B"/>
    <w:rsid w:val="00CC713B"/>
    <w:rsid w:val="00CD0C22"/>
    <w:rsid w:val="00CD2BF2"/>
    <w:rsid w:val="00CF10C3"/>
    <w:rsid w:val="00D07843"/>
    <w:rsid w:val="00D30FA1"/>
    <w:rsid w:val="00D82E2A"/>
    <w:rsid w:val="00DD3F81"/>
    <w:rsid w:val="00E26F2C"/>
    <w:rsid w:val="00E647DC"/>
    <w:rsid w:val="00EA27C3"/>
    <w:rsid w:val="00EB5596"/>
    <w:rsid w:val="00EF06EC"/>
    <w:rsid w:val="00EF394A"/>
    <w:rsid w:val="00F068A7"/>
    <w:rsid w:val="00F61F1E"/>
    <w:rsid w:val="00F67BBA"/>
    <w:rsid w:val="00FC3B39"/>
    <w:rsid w:val="00FF4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5CE44"/>
  <w15:docId w15:val="{3795FFE0-A4ED-468D-840D-05FC3D00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47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4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0860"/>
    <w:pPr>
      <w:keepNext/>
      <w:keepLines/>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lean Titles By G,Numbered list 1"/>
    <w:basedOn w:val="Normal"/>
    <w:link w:val="ListParagraphChar"/>
    <w:uiPriority w:val="34"/>
    <w:qFormat/>
    <w:rsid w:val="00F068A7"/>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AC47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7FD"/>
    <w:rPr>
      <w:rFonts w:ascii="Tahoma" w:hAnsi="Tahoma" w:cs="Tahoma"/>
      <w:sz w:val="16"/>
      <w:szCs w:val="16"/>
    </w:rPr>
  </w:style>
  <w:style w:type="character" w:customStyle="1" w:styleId="Heading1Char">
    <w:name w:val="Heading 1 Char"/>
    <w:basedOn w:val="DefaultParagraphFont"/>
    <w:link w:val="Heading1"/>
    <w:uiPriority w:val="9"/>
    <w:rsid w:val="00AC47F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C47F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C4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7FD"/>
  </w:style>
  <w:style w:type="paragraph" w:styleId="Footer">
    <w:name w:val="footer"/>
    <w:basedOn w:val="Normal"/>
    <w:link w:val="FooterChar"/>
    <w:uiPriority w:val="99"/>
    <w:unhideWhenUsed/>
    <w:rsid w:val="00AC4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7FD"/>
  </w:style>
  <w:style w:type="table" w:styleId="TableGrid">
    <w:name w:val="Table Grid"/>
    <w:basedOn w:val="TableNormal"/>
    <w:uiPriority w:val="59"/>
    <w:rsid w:val="00AC4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C0860"/>
    <w:rPr>
      <w:rFonts w:asciiTheme="majorHAnsi" w:eastAsiaTheme="majorEastAsia" w:hAnsiTheme="majorHAnsi" w:cstheme="majorBidi"/>
      <w:b/>
      <w:bCs/>
    </w:rPr>
  </w:style>
  <w:style w:type="paragraph" w:styleId="TOC1">
    <w:name w:val="toc 1"/>
    <w:basedOn w:val="Normal"/>
    <w:next w:val="Normal"/>
    <w:autoRedefine/>
    <w:uiPriority w:val="39"/>
    <w:unhideWhenUsed/>
    <w:rsid w:val="003C7B86"/>
    <w:pPr>
      <w:spacing w:after="100"/>
    </w:pPr>
  </w:style>
  <w:style w:type="character" w:styleId="Hyperlink">
    <w:name w:val="Hyperlink"/>
    <w:basedOn w:val="DefaultParagraphFont"/>
    <w:uiPriority w:val="99"/>
    <w:unhideWhenUsed/>
    <w:rsid w:val="003C7B86"/>
    <w:rPr>
      <w:color w:val="0000FF" w:themeColor="hyperlink"/>
      <w:u w:val="single"/>
    </w:rPr>
  </w:style>
  <w:style w:type="paragraph" w:customStyle="1" w:styleId="TextBullet">
    <w:name w:val="Text Bullet"/>
    <w:basedOn w:val="Normal"/>
    <w:rsid w:val="003C7B86"/>
    <w:pPr>
      <w:numPr>
        <w:numId w:val="11"/>
      </w:numPr>
      <w:spacing w:after="0" w:line="240" w:lineRule="auto"/>
    </w:pPr>
    <w:rPr>
      <w:rFonts w:ascii="Times New Roman" w:eastAsia="Times New Roman" w:hAnsi="Times New Roman" w:cs="Times New Roman"/>
      <w:szCs w:val="20"/>
    </w:rPr>
  </w:style>
  <w:style w:type="table" w:styleId="GridTable4-Accent1">
    <w:name w:val="Grid Table 4 Accent 1"/>
    <w:basedOn w:val="TableNormal"/>
    <w:uiPriority w:val="49"/>
    <w:rsid w:val="00C904B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aliases w:val="Clean Titles By G Char,Numbered list 1 Char"/>
    <w:link w:val="ListParagraph"/>
    <w:uiPriority w:val="34"/>
    <w:locked/>
    <w:rsid w:val="00F67BB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904795">
      <w:bodyDiv w:val="1"/>
      <w:marLeft w:val="0"/>
      <w:marRight w:val="0"/>
      <w:marTop w:val="0"/>
      <w:marBottom w:val="0"/>
      <w:divBdr>
        <w:top w:val="none" w:sz="0" w:space="0" w:color="auto"/>
        <w:left w:val="none" w:sz="0" w:space="0" w:color="auto"/>
        <w:bottom w:val="none" w:sz="0" w:space="0" w:color="auto"/>
        <w:right w:val="none" w:sz="0" w:space="0" w:color="auto"/>
      </w:divBdr>
    </w:div>
    <w:div w:id="481581070">
      <w:bodyDiv w:val="1"/>
      <w:marLeft w:val="0"/>
      <w:marRight w:val="0"/>
      <w:marTop w:val="0"/>
      <w:marBottom w:val="0"/>
      <w:divBdr>
        <w:top w:val="none" w:sz="0" w:space="0" w:color="auto"/>
        <w:left w:val="none" w:sz="0" w:space="0" w:color="auto"/>
        <w:bottom w:val="none" w:sz="0" w:space="0" w:color="auto"/>
        <w:right w:val="none" w:sz="0" w:space="0" w:color="auto"/>
      </w:divBdr>
    </w:div>
    <w:div w:id="1513640962">
      <w:bodyDiv w:val="1"/>
      <w:marLeft w:val="0"/>
      <w:marRight w:val="0"/>
      <w:marTop w:val="0"/>
      <w:marBottom w:val="0"/>
      <w:divBdr>
        <w:top w:val="none" w:sz="0" w:space="0" w:color="auto"/>
        <w:left w:val="none" w:sz="0" w:space="0" w:color="auto"/>
        <w:bottom w:val="none" w:sz="0" w:space="0" w:color="auto"/>
        <w:right w:val="none" w:sz="0" w:space="0" w:color="auto"/>
      </w:divBdr>
      <w:divsChild>
        <w:div w:id="408311977">
          <w:marLeft w:val="720"/>
          <w:marRight w:val="0"/>
          <w:marTop w:val="154"/>
          <w:marBottom w:val="0"/>
          <w:divBdr>
            <w:top w:val="none" w:sz="0" w:space="0" w:color="auto"/>
            <w:left w:val="none" w:sz="0" w:space="0" w:color="auto"/>
            <w:bottom w:val="none" w:sz="0" w:space="0" w:color="auto"/>
            <w:right w:val="none" w:sz="0" w:space="0" w:color="auto"/>
          </w:divBdr>
        </w:div>
        <w:div w:id="460652902">
          <w:marLeft w:val="720"/>
          <w:marRight w:val="0"/>
          <w:marTop w:val="154"/>
          <w:marBottom w:val="0"/>
          <w:divBdr>
            <w:top w:val="none" w:sz="0" w:space="0" w:color="auto"/>
            <w:left w:val="none" w:sz="0" w:space="0" w:color="auto"/>
            <w:bottom w:val="none" w:sz="0" w:space="0" w:color="auto"/>
            <w:right w:val="none" w:sz="0" w:space="0" w:color="auto"/>
          </w:divBdr>
        </w:div>
        <w:div w:id="100997399">
          <w:marLeft w:val="1166"/>
          <w:marRight w:val="0"/>
          <w:marTop w:val="134"/>
          <w:marBottom w:val="0"/>
          <w:divBdr>
            <w:top w:val="none" w:sz="0" w:space="0" w:color="auto"/>
            <w:left w:val="none" w:sz="0" w:space="0" w:color="auto"/>
            <w:bottom w:val="none" w:sz="0" w:space="0" w:color="auto"/>
            <w:right w:val="none" w:sz="0" w:space="0" w:color="auto"/>
          </w:divBdr>
        </w:div>
        <w:div w:id="1068574765">
          <w:marLeft w:val="720"/>
          <w:marRight w:val="0"/>
          <w:marTop w:val="154"/>
          <w:marBottom w:val="0"/>
          <w:divBdr>
            <w:top w:val="none" w:sz="0" w:space="0" w:color="auto"/>
            <w:left w:val="none" w:sz="0" w:space="0" w:color="auto"/>
            <w:bottom w:val="none" w:sz="0" w:space="0" w:color="auto"/>
            <w:right w:val="none" w:sz="0" w:space="0" w:color="auto"/>
          </w:divBdr>
        </w:div>
        <w:div w:id="1845851613">
          <w:marLeft w:val="1166"/>
          <w:marRight w:val="0"/>
          <w:marTop w:val="134"/>
          <w:marBottom w:val="0"/>
          <w:divBdr>
            <w:top w:val="none" w:sz="0" w:space="0" w:color="auto"/>
            <w:left w:val="none" w:sz="0" w:space="0" w:color="auto"/>
            <w:bottom w:val="none" w:sz="0" w:space="0" w:color="auto"/>
            <w:right w:val="none" w:sz="0" w:space="0" w:color="auto"/>
          </w:divBdr>
        </w:div>
      </w:divsChild>
    </w:div>
    <w:div w:id="194144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foa.org/po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F7A0E-6D07-44F8-ABBF-7A231E2DC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MMucha</dc:creator>
  <cp:lastModifiedBy>Michael Mucha</cp:lastModifiedBy>
  <cp:revision>33</cp:revision>
  <cp:lastPrinted>2019-06-10T19:39:00Z</cp:lastPrinted>
  <dcterms:created xsi:type="dcterms:W3CDTF">2014-03-16T19:17:00Z</dcterms:created>
  <dcterms:modified xsi:type="dcterms:W3CDTF">2021-09-29T15:30:00Z</dcterms:modified>
</cp:coreProperties>
</file>