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EA2D2" w14:textId="3B806D02" w:rsidR="00CC23A0" w:rsidRPr="00FD609E" w:rsidRDefault="00EB18EF" w:rsidP="007C6D07">
      <w:pPr>
        <w:pStyle w:val="Title"/>
        <w:spacing w:line="216" w:lineRule="auto"/>
        <w:rPr>
          <w:rFonts w:ascii="Impact" w:hAnsi="Impact"/>
          <w:b/>
          <w:color w:val="365DA5"/>
          <w:sz w:val="52"/>
        </w:rPr>
      </w:pPr>
      <w:bookmarkStart w:id="0" w:name="_GoBack"/>
      <w:bookmarkEnd w:id="0"/>
      <w:r>
        <w:rPr>
          <w:b/>
          <w:noProof/>
          <w:color w:val="365DA5"/>
        </w:rPr>
        <w:drawing>
          <wp:anchor distT="0" distB="0" distL="114300" distR="114300" simplePos="0" relativeHeight="251659264" behindDoc="0" locked="0" layoutInCell="1" allowOverlap="1" wp14:anchorId="3642954D" wp14:editId="084EB1EF">
            <wp:simplePos x="0" y="0"/>
            <wp:positionH relativeFrom="column">
              <wp:posOffset>5052060</wp:posOffset>
            </wp:positionH>
            <wp:positionV relativeFrom="paragraph">
              <wp:posOffset>4445</wp:posOffset>
            </wp:positionV>
            <wp:extent cx="1398905" cy="274320"/>
            <wp:effectExtent l="0" t="0" r="0" b="0"/>
            <wp:wrapThrough wrapText="bothSides">
              <wp:wrapPolygon edited="0">
                <wp:start x="0" y="0"/>
                <wp:lineTo x="0" y="18000"/>
                <wp:lineTo x="21178" y="18000"/>
                <wp:lineTo x="2117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28A">
        <w:rPr>
          <w:rFonts w:ascii="Impact" w:hAnsi="Impact"/>
          <w:b/>
          <w:noProof/>
          <w:color w:val="365DA5"/>
          <w:sz w:val="52"/>
        </w:rPr>
        <w:drawing>
          <wp:anchor distT="0" distB="0" distL="114300" distR="114300" simplePos="0" relativeHeight="251658240" behindDoc="0" locked="0" layoutInCell="1" allowOverlap="1" wp14:anchorId="254CC105" wp14:editId="0C959B76">
            <wp:simplePos x="0" y="0"/>
            <wp:positionH relativeFrom="column">
              <wp:posOffset>4286250</wp:posOffset>
            </wp:positionH>
            <wp:positionV relativeFrom="page">
              <wp:posOffset>116840</wp:posOffset>
            </wp:positionV>
            <wp:extent cx="2409825" cy="3781425"/>
            <wp:effectExtent l="0" t="0" r="317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Fgraph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D31">
        <w:rPr>
          <w:rFonts w:ascii="Impact" w:hAnsi="Impact"/>
          <w:b/>
          <w:color w:val="365DA5"/>
          <w:sz w:val="52"/>
        </w:rPr>
        <w:t>USER FEE</w:t>
      </w:r>
      <w:r w:rsidR="00EB11B2">
        <w:rPr>
          <w:rFonts w:ascii="Impact" w:hAnsi="Impact"/>
          <w:b/>
          <w:color w:val="365DA5"/>
          <w:sz w:val="52"/>
        </w:rPr>
        <w:t xml:space="preserve"> </w:t>
      </w:r>
      <w:r w:rsidR="00FD609E" w:rsidRPr="00FD609E">
        <w:rPr>
          <w:rFonts w:ascii="Impact" w:hAnsi="Impact"/>
          <w:b/>
          <w:color w:val="365DA5"/>
          <w:sz w:val="52"/>
        </w:rPr>
        <w:t>POLICY</w:t>
      </w:r>
    </w:p>
    <w:p w14:paraId="2DD46A8B" w14:textId="0C36BE4C" w:rsidR="00EF6D31" w:rsidRPr="00671CAF" w:rsidRDefault="00EF6D31" w:rsidP="00EF6D31">
      <w:pPr>
        <w:spacing w:before="120"/>
        <w:rPr>
          <w:i/>
          <w:color w:val="767171" w:themeColor="background2" w:themeShade="80"/>
        </w:rPr>
      </w:pPr>
      <w:r w:rsidRPr="00671CAF">
        <w:rPr>
          <w:i/>
          <w:color w:val="767171" w:themeColor="background2" w:themeShade="80"/>
        </w:rPr>
        <w:t xml:space="preserve">This template provides the </w:t>
      </w:r>
      <w:r w:rsidR="00E87F29">
        <w:rPr>
          <w:i/>
          <w:color w:val="767171" w:themeColor="background2" w:themeShade="80"/>
        </w:rPr>
        <w:t>basic</w:t>
      </w:r>
      <w:r w:rsidRPr="00671CAF">
        <w:rPr>
          <w:i/>
          <w:color w:val="767171" w:themeColor="background2" w:themeShade="80"/>
        </w:rPr>
        <w:t xml:space="preserve">s of a </w:t>
      </w:r>
      <w:r>
        <w:rPr>
          <w:i/>
          <w:color w:val="767171" w:themeColor="background2" w:themeShade="80"/>
        </w:rPr>
        <w:t>user fee</w:t>
      </w:r>
      <w:r w:rsidRPr="00671CAF">
        <w:rPr>
          <w:i/>
          <w:color w:val="767171" w:themeColor="background2" w:themeShade="80"/>
        </w:rPr>
        <w:t xml:space="preserve"> policy. You should </w:t>
      </w:r>
      <w:r w:rsidR="006619B0">
        <w:rPr>
          <w:i/>
          <w:color w:val="767171" w:themeColor="background2" w:themeShade="80"/>
        </w:rPr>
        <w:t>adjust</w:t>
      </w:r>
      <w:r w:rsidR="006619B0" w:rsidRPr="00671CAF">
        <w:rPr>
          <w:i/>
          <w:color w:val="767171" w:themeColor="background2" w:themeShade="80"/>
        </w:rPr>
        <w:t xml:space="preserve"> </w:t>
      </w:r>
      <w:r w:rsidRPr="00671CAF">
        <w:rPr>
          <w:i/>
          <w:color w:val="767171" w:themeColor="background2" w:themeShade="80"/>
        </w:rPr>
        <w:t>this policy to fit your government</w:t>
      </w:r>
      <w:r w:rsidR="006619B0">
        <w:rPr>
          <w:i/>
          <w:color w:val="767171" w:themeColor="background2" w:themeShade="80"/>
        </w:rPr>
        <w:t>’s needs</w:t>
      </w:r>
      <w:r w:rsidRPr="00671CAF">
        <w:rPr>
          <w:i/>
          <w:color w:val="767171" w:themeColor="background2" w:themeShade="80"/>
        </w:rPr>
        <w:t xml:space="preserve">. </w:t>
      </w:r>
      <w:r w:rsidR="00856651">
        <w:rPr>
          <w:i/>
          <w:color w:val="7F7F7F" w:themeColor="text1" w:themeTint="80"/>
        </w:rPr>
        <w:t>For further guidance, refer to</w:t>
      </w:r>
      <w:r w:rsidRPr="00671CAF">
        <w:rPr>
          <w:i/>
          <w:color w:val="767171" w:themeColor="background2" w:themeShade="80"/>
        </w:rPr>
        <w:t xml:space="preserve"> the GFOA book “Financial Policies</w:t>
      </w:r>
      <w:r w:rsidR="006619B0">
        <w:rPr>
          <w:i/>
          <w:color w:val="767171" w:themeColor="background2" w:themeShade="80"/>
        </w:rPr>
        <w:t>.</w:t>
      </w:r>
      <w:r w:rsidRPr="00671CAF">
        <w:rPr>
          <w:i/>
          <w:color w:val="767171" w:themeColor="background2" w:themeShade="80"/>
        </w:rPr>
        <w:t>” The book describes the elements in this template</w:t>
      </w:r>
      <w:r w:rsidR="003B53E9">
        <w:rPr>
          <w:i/>
          <w:color w:val="767171" w:themeColor="background2" w:themeShade="80"/>
        </w:rPr>
        <w:t xml:space="preserve"> </w:t>
      </w:r>
      <w:r w:rsidR="00053DED">
        <w:rPr>
          <w:i/>
          <w:color w:val="7F7F7F" w:themeColor="text1" w:themeTint="80"/>
        </w:rPr>
        <w:t>plus additional options</w:t>
      </w:r>
      <w:r w:rsidRPr="00671CAF">
        <w:rPr>
          <w:i/>
          <w:color w:val="767171" w:themeColor="background2" w:themeShade="80"/>
        </w:rPr>
        <w:t>.</w:t>
      </w:r>
    </w:p>
    <w:p w14:paraId="0FF045F5" w14:textId="44FC8FA2" w:rsidR="00EF6D31" w:rsidRPr="00671CAF" w:rsidRDefault="00EF6D31" w:rsidP="00EF6D31">
      <w:pPr>
        <w:pStyle w:val="Heading1"/>
        <w:rPr>
          <w:rFonts w:asciiTheme="minorHAnsi" w:hAnsiTheme="minorHAnsi"/>
          <w:b/>
          <w:color w:val="3E5DA0"/>
        </w:rPr>
      </w:pPr>
      <w:r w:rsidRPr="00671CAF">
        <w:rPr>
          <w:rFonts w:asciiTheme="minorHAnsi" w:hAnsiTheme="minorHAnsi"/>
          <w:b/>
          <w:color w:val="3E5DA0"/>
        </w:rPr>
        <w:t xml:space="preserve">Why a User Fee Policy </w:t>
      </w:r>
      <w:r w:rsidR="00850430">
        <w:rPr>
          <w:rFonts w:asciiTheme="minorHAnsi" w:hAnsiTheme="minorHAnsi"/>
          <w:b/>
          <w:color w:val="3E5DA0"/>
        </w:rPr>
        <w:t>I</w:t>
      </w:r>
      <w:r w:rsidRPr="00671CAF">
        <w:rPr>
          <w:rFonts w:asciiTheme="minorHAnsi" w:hAnsiTheme="minorHAnsi"/>
          <w:b/>
          <w:color w:val="3E5DA0"/>
        </w:rPr>
        <w:t>s Important</w:t>
      </w:r>
    </w:p>
    <w:p w14:paraId="0FB870B1" w14:textId="441CDFFB" w:rsidR="00EF6D31" w:rsidRDefault="00EF6D31" w:rsidP="00EF6D31">
      <w:r>
        <w:t>User fees support [name of your gov</w:t>
      </w:r>
      <w:r w:rsidR="00D25751">
        <w:t>ernmen</w:t>
      </w:r>
      <w:r>
        <w:t>t]’s ability to provide services to the public. A user fee policy helps make sure that fees are fair and equitable.</w:t>
      </w:r>
    </w:p>
    <w:p w14:paraId="31C801FB" w14:textId="77777777" w:rsidR="00EF6D31" w:rsidRPr="00671CAF" w:rsidRDefault="00EF6D31" w:rsidP="00EF6D31">
      <w:pPr>
        <w:pStyle w:val="Heading1"/>
        <w:rPr>
          <w:rFonts w:asciiTheme="minorHAnsi" w:hAnsiTheme="minorHAnsi"/>
          <w:b/>
          <w:color w:val="3E5DA0"/>
        </w:rPr>
      </w:pPr>
      <w:r w:rsidRPr="00671CAF">
        <w:rPr>
          <w:rFonts w:asciiTheme="minorHAnsi" w:hAnsiTheme="minorHAnsi"/>
          <w:b/>
          <w:color w:val="3E5DA0"/>
        </w:rPr>
        <w:t>Cost Recovery for User Fees</w:t>
      </w:r>
    </w:p>
    <w:p w14:paraId="6100BF31" w14:textId="75838A28" w:rsidR="00EF6D31" w:rsidRDefault="00EF6D31" w:rsidP="00EF6D31">
      <w:r>
        <w:t xml:space="preserve">User fees are </w:t>
      </w:r>
      <w:r w:rsidR="001023C0">
        <w:t xml:space="preserve">meant </w:t>
      </w:r>
      <w:r>
        <w:t xml:space="preserve">to recover a portion of the cost of providing a service. Staff </w:t>
      </w:r>
      <w:r w:rsidR="001023C0">
        <w:t xml:space="preserve">will </w:t>
      </w:r>
      <w:r>
        <w:t>develop and recommend to [name of governing board] cost recovery goals for services that charge user fees.</w:t>
      </w:r>
    </w:p>
    <w:p w14:paraId="74B39FCD" w14:textId="4B3B9F85" w:rsidR="00EF6D31" w:rsidRDefault="00EF6D31" w:rsidP="00EF6D31">
      <w:r>
        <w:t xml:space="preserve">Staff </w:t>
      </w:r>
      <w:r w:rsidR="001023C0">
        <w:t xml:space="preserve">will </w:t>
      </w:r>
      <w:r>
        <w:t>recommend a cost recovery goal based on characteristics of the service. Characteristics that suggest a higher goal include:</w:t>
      </w:r>
    </w:p>
    <w:p w14:paraId="2A0675FB" w14:textId="241335F1" w:rsidR="00EF6D31" w:rsidRDefault="00EF6D31" w:rsidP="00EF6D31">
      <w:r w:rsidRPr="00EE2DE0">
        <w:rPr>
          <w:b/>
        </w:rPr>
        <w:t xml:space="preserve">Customer receives all or most of the value from the service. </w:t>
      </w:r>
      <w:r>
        <w:t xml:space="preserve">Public services often benefit the entire community and the individual receiving the service. In cases where all or most of the value of a public service </w:t>
      </w:r>
      <w:r w:rsidR="0036229E">
        <w:t xml:space="preserve">goes </w:t>
      </w:r>
      <w:r>
        <w:t>to the individual, greater cost recovery should be the goal.</w:t>
      </w:r>
    </w:p>
    <w:p w14:paraId="54E8F76C" w14:textId="16264019" w:rsidR="00EF6D31" w:rsidRDefault="00EF6D31" w:rsidP="00EF6D31">
      <w:r w:rsidRPr="00EE2DE0">
        <w:rPr>
          <w:b/>
        </w:rPr>
        <w:t>Similar to private sector service</w:t>
      </w:r>
      <w:r w:rsidRPr="002A23DF">
        <w:rPr>
          <w:b/>
        </w:rPr>
        <w:t>.</w:t>
      </w:r>
      <w:r>
        <w:t xml:space="preserve"> [</w:t>
      </w:r>
      <w:r w:rsidR="00366E04">
        <w:t xml:space="preserve">Name </w:t>
      </w:r>
      <w:r>
        <w:t>of your gov</w:t>
      </w:r>
      <w:r w:rsidR="00366E04">
        <w:t>ernmen</w:t>
      </w:r>
      <w:r>
        <w:t xml:space="preserve">t] should not </w:t>
      </w:r>
      <w:r w:rsidR="00914C85">
        <w:t xml:space="preserve">fund </w:t>
      </w:r>
      <w:r>
        <w:t xml:space="preserve">public services that </w:t>
      </w:r>
      <w:r w:rsidR="00914C85">
        <w:t>are similar</w:t>
      </w:r>
      <w:r>
        <w:t xml:space="preserve"> to services available from the private sector.</w:t>
      </w:r>
    </w:p>
    <w:p w14:paraId="0868D0E4" w14:textId="30E7EEB7" w:rsidR="00EF6D31" w:rsidRDefault="00EF6D31" w:rsidP="00EF6D31">
      <w:r w:rsidRPr="00EE2DE0">
        <w:rPr>
          <w:b/>
        </w:rPr>
        <w:t>[</w:t>
      </w:r>
      <w:r w:rsidR="00914C85">
        <w:rPr>
          <w:b/>
        </w:rPr>
        <w:t>N</w:t>
      </w:r>
      <w:r w:rsidR="00914C85" w:rsidRPr="00EE2DE0">
        <w:rPr>
          <w:b/>
        </w:rPr>
        <w:t xml:space="preserve">ame </w:t>
      </w:r>
      <w:r w:rsidRPr="00EE2DE0">
        <w:rPr>
          <w:b/>
        </w:rPr>
        <w:t>of your gov</w:t>
      </w:r>
      <w:r w:rsidR="00914C85">
        <w:rPr>
          <w:b/>
        </w:rPr>
        <w:t>ernmen</w:t>
      </w:r>
      <w:r w:rsidRPr="00EE2DE0">
        <w:rPr>
          <w:b/>
        </w:rPr>
        <w:t>t] needs to limit demand.</w:t>
      </w:r>
      <w:r>
        <w:t xml:space="preserve"> If the charge is too low, people may use too much.</w:t>
      </w:r>
    </w:p>
    <w:p w14:paraId="38226876" w14:textId="31029FF1" w:rsidR="00EF6D31" w:rsidRDefault="00EF6D31" w:rsidP="00EF6D31">
      <w:r w:rsidRPr="00EE2DE0">
        <w:rPr>
          <w:b/>
        </w:rPr>
        <w:t>The service is regulatory.</w:t>
      </w:r>
      <w:r>
        <w:t xml:space="preserve"> Some private activities are </w:t>
      </w:r>
      <w:r w:rsidR="00914C85">
        <w:t xml:space="preserve">controlled </w:t>
      </w:r>
      <w:r>
        <w:t>by [name of your gov</w:t>
      </w:r>
      <w:r w:rsidR="00914C85">
        <w:t>ernmen</w:t>
      </w:r>
      <w:r>
        <w:t xml:space="preserve">t]. Individuals </w:t>
      </w:r>
      <w:r w:rsidR="00C1189E">
        <w:t>who</w:t>
      </w:r>
      <w:r>
        <w:t xml:space="preserve"> undertake those activities should pay the cost of the regulation.</w:t>
      </w:r>
    </w:p>
    <w:p w14:paraId="1B0E4219" w14:textId="77777777" w:rsidR="00EF6D31" w:rsidRDefault="00EF6D31" w:rsidP="00EF6D31">
      <w:r>
        <w:t>Characteristics that suggest lower cost recovery goals include:</w:t>
      </w:r>
    </w:p>
    <w:p w14:paraId="0D0A7AA6" w14:textId="0CB48195" w:rsidR="00EF6D31" w:rsidRDefault="00EF6D31" w:rsidP="00EF6D31">
      <w:r w:rsidRPr="00EE2DE0">
        <w:rPr>
          <w:b/>
        </w:rPr>
        <w:t>Difficult collection</w:t>
      </w:r>
      <w:r w:rsidRPr="002A23DF">
        <w:rPr>
          <w:b/>
        </w:rPr>
        <w:t>.</w:t>
      </w:r>
      <w:r>
        <w:t xml:space="preserve"> It may </w:t>
      </w:r>
      <w:r w:rsidR="00111DB7">
        <w:t xml:space="preserve">not </w:t>
      </w:r>
      <w:r>
        <w:t>be</w:t>
      </w:r>
      <w:r w:rsidR="00111DB7">
        <w:t xml:space="preserve"> </w:t>
      </w:r>
      <w:r>
        <w:t>practical to charge a fee. If so, collection would cost more than it would bring in revenue.</w:t>
      </w:r>
    </w:p>
    <w:p w14:paraId="660FE34E" w14:textId="77777777" w:rsidR="00EF6D31" w:rsidRDefault="00EF6D31" w:rsidP="00EF6D31">
      <w:r w:rsidRPr="00326FF5">
        <w:rPr>
          <w:b/>
        </w:rPr>
        <w:t>Emergency service</w:t>
      </w:r>
      <w:r w:rsidRPr="002A23DF">
        <w:rPr>
          <w:b/>
        </w:rPr>
        <w:t>.</w:t>
      </w:r>
      <w:r>
        <w:t xml:space="preserve"> The service is provided in an emergency and not planned by the user.</w:t>
      </w:r>
    </w:p>
    <w:p w14:paraId="0A901F99" w14:textId="6F57D1E6" w:rsidR="00EF6D31" w:rsidRDefault="00EF6D31" w:rsidP="00EF6D31">
      <w:r w:rsidRPr="00326FF5">
        <w:rPr>
          <w:b/>
        </w:rPr>
        <w:t>Creates the wrong incentives.</w:t>
      </w:r>
      <w:r>
        <w:t xml:space="preserve"> If a fee is too high</w:t>
      </w:r>
      <w:r w:rsidR="006575AA">
        <w:t>,</w:t>
      </w:r>
      <w:r>
        <w:t xml:space="preserve"> it might discourage people from using a service or following a regulation.</w:t>
      </w:r>
    </w:p>
    <w:p w14:paraId="5618F883" w14:textId="790ABD25" w:rsidR="00EF6D31" w:rsidRDefault="00EF6D31" w:rsidP="00EF6D31">
      <w:r>
        <w:t>Here are examples of services with high</w:t>
      </w:r>
      <w:r w:rsidR="006575AA">
        <w:t>-</w:t>
      </w:r>
      <w:r>
        <w:t>cost recovery goals</w:t>
      </w:r>
      <w:r w:rsidR="002C3CA7">
        <w:t>:</w:t>
      </w:r>
      <w:r>
        <w:t xml:space="preserve"> [</w:t>
      </w:r>
      <w:r w:rsidR="006575AA">
        <w:t xml:space="preserve">You </w:t>
      </w:r>
      <w:r>
        <w:t>may insert services you’d like to establish as high-cost recovery. Examples might be municipal utilities and building permits].</w:t>
      </w:r>
    </w:p>
    <w:p w14:paraId="1702A1D1" w14:textId="77777777" w:rsidR="00EF6D31" w:rsidRPr="00671CAF" w:rsidRDefault="00EF6D31" w:rsidP="00EF6D31">
      <w:pPr>
        <w:pStyle w:val="Heading1"/>
        <w:rPr>
          <w:rFonts w:asciiTheme="minorHAnsi" w:hAnsiTheme="minorHAnsi"/>
          <w:b/>
          <w:color w:val="3E5DA0"/>
        </w:rPr>
      </w:pPr>
      <w:r w:rsidRPr="00671CAF">
        <w:rPr>
          <w:rFonts w:asciiTheme="minorHAnsi" w:hAnsiTheme="minorHAnsi"/>
          <w:b/>
          <w:color w:val="3E5DA0"/>
        </w:rPr>
        <w:t>Review of Fees</w:t>
      </w:r>
    </w:p>
    <w:p w14:paraId="5B069BCD" w14:textId="48FC9A31" w:rsidR="00EF6D31" w:rsidRDefault="00EF6D31" w:rsidP="00EF6D31">
      <w:r w:rsidRPr="002F0C43">
        <w:t>Fees will be reviewed and updated by the department administering the fee</w:t>
      </w:r>
      <w:r w:rsidR="002C3CA7">
        <w:t>s</w:t>
      </w:r>
      <w:r>
        <w:t xml:space="preserve">. This will </w:t>
      </w:r>
      <w:r w:rsidRPr="002F0C43">
        <w:t xml:space="preserve">ensure that fees keep pace with changes in </w:t>
      </w:r>
      <w:r>
        <w:t>the cost of providing a service</w:t>
      </w:r>
      <w:r w:rsidR="00EB77F9">
        <w:t>.</w:t>
      </w:r>
    </w:p>
    <w:p w14:paraId="2793EF40" w14:textId="68F404ED" w:rsidR="00EF6D31" w:rsidRDefault="00EF6D31" w:rsidP="00EF6D31">
      <w:r w:rsidRPr="002F0C43">
        <w:lastRenderedPageBreak/>
        <w:t xml:space="preserve">A </w:t>
      </w:r>
      <w:r w:rsidR="006853F2">
        <w:t>full</w:t>
      </w:r>
      <w:r w:rsidR="006853F2" w:rsidRPr="002F0C43">
        <w:t xml:space="preserve"> </w:t>
      </w:r>
      <w:r w:rsidRPr="002F0C43">
        <w:t>analysis of a service’s cost, the level of service provided, the means by which it is provided, and the fees charged should be</w:t>
      </w:r>
      <w:r>
        <w:t xml:space="preserve"> made at least every five years. This should result in a </w:t>
      </w:r>
      <w:r w:rsidRPr="002F0C43">
        <w:t xml:space="preserve">recommendation to </w:t>
      </w:r>
      <w:r>
        <w:t>[name of governing board]</w:t>
      </w:r>
      <w:r w:rsidRPr="002F0C43">
        <w:t xml:space="preserve"> for any changes to the fee structure.</w:t>
      </w:r>
    </w:p>
    <w:p w14:paraId="2F8BE7EA" w14:textId="4687BFF5" w:rsidR="00555C24" w:rsidRPr="00555C24" w:rsidRDefault="00EF6D31" w:rsidP="00EF6D31">
      <w:r w:rsidRPr="002F0C43">
        <w:t>In the interim, each year</w:t>
      </w:r>
      <w:r w:rsidR="00B11DFB">
        <w:t>,</w:t>
      </w:r>
      <w:r w:rsidRPr="002F0C43">
        <w:t xml:space="preserve"> the </w:t>
      </w:r>
      <w:r w:rsidR="0028575C">
        <w:t>f</w:t>
      </w:r>
      <w:r w:rsidR="0028575C" w:rsidRPr="002F0C43">
        <w:t xml:space="preserve">inance </w:t>
      </w:r>
      <w:r w:rsidR="0028575C">
        <w:t>d</w:t>
      </w:r>
      <w:r w:rsidR="0028575C" w:rsidRPr="002F0C43">
        <w:t xml:space="preserve">irector </w:t>
      </w:r>
      <w:r w:rsidRPr="002F0C43">
        <w:t xml:space="preserve">and the department that administers the fee </w:t>
      </w:r>
      <w:r w:rsidR="0028575C">
        <w:t>will</w:t>
      </w:r>
      <w:r w:rsidR="0028575C" w:rsidRPr="002F0C43">
        <w:t xml:space="preserve"> </w:t>
      </w:r>
      <w:r w:rsidRPr="002F0C43">
        <w:t xml:space="preserve">recommend to </w:t>
      </w:r>
      <w:r>
        <w:t>[name of governing board]</w:t>
      </w:r>
      <w:r w:rsidRPr="002F0C43">
        <w:t xml:space="preserve"> any adjustments to fees that may be necessary to keep up with cost increases or for the service to meet its cost recovery goals.</w:t>
      </w:r>
    </w:p>
    <w:sectPr w:rsidR="00555C24" w:rsidRPr="00555C24" w:rsidSect="006C3682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0F13C" w14:textId="77777777" w:rsidR="00C4651E" w:rsidRDefault="00C4651E" w:rsidP="00555C24">
      <w:pPr>
        <w:spacing w:after="0" w:line="240" w:lineRule="auto"/>
      </w:pPr>
      <w:r>
        <w:separator/>
      </w:r>
    </w:p>
  </w:endnote>
  <w:endnote w:type="continuationSeparator" w:id="0">
    <w:p w14:paraId="40D8887C" w14:textId="77777777" w:rsidR="00C4651E" w:rsidRDefault="00C4651E" w:rsidP="0055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89AD7" w14:textId="77777777" w:rsidR="005037A9" w:rsidRDefault="005037A9" w:rsidP="003373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34ECA" w14:textId="77777777" w:rsidR="005037A9" w:rsidRDefault="005037A9" w:rsidP="005037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70C0E" w14:textId="080635A3" w:rsidR="005037A9" w:rsidRPr="005037A9" w:rsidRDefault="005037A9" w:rsidP="006C3682">
    <w:pPr>
      <w:pStyle w:val="Footer"/>
      <w:framePr w:wrap="none" w:vAnchor="text" w:hAnchor="margin" w:xAlign="right" w:y="1"/>
      <w:rPr>
        <w:rStyle w:val="PageNumber"/>
        <w:color w:val="767171" w:themeColor="background2" w:themeShade="80"/>
        <w:sz w:val="21"/>
      </w:rPr>
    </w:pPr>
    <w:r w:rsidRPr="005037A9">
      <w:rPr>
        <w:rStyle w:val="PageNumber"/>
        <w:color w:val="767171" w:themeColor="background2" w:themeShade="80"/>
        <w:sz w:val="21"/>
      </w:rPr>
      <w:fldChar w:fldCharType="begin"/>
    </w:r>
    <w:r w:rsidRPr="005037A9">
      <w:rPr>
        <w:rStyle w:val="PageNumber"/>
        <w:color w:val="767171" w:themeColor="background2" w:themeShade="80"/>
        <w:sz w:val="21"/>
      </w:rPr>
      <w:instrText xml:space="preserve">PAGE  </w:instrText>
    </w:r>
    <w:r w:rsidRPr="005037A9">
      <w:rPr>
        <w:rStyle w:val="PageNumber"/>
        <w:color w:val="767171" w:themeColor="background2" w:themeShade="80"/>
        <w:sz w:val="21"/>
      </w:rPr>
      <w:fldChar w:fldCharType="separate"/>
    </w:r>
    <w:r w:rsidR="008E3874">
      <w:rPr>
        <w:rStyle w:val="PageNumber"/>
        <w:noProof/>
        <w:color w:val="767171" w:themeColor="background2" w:themeShade="80"/>
        <w:sz w:val="21"/>
      </w:rPr>
      <w:t>1</w:t>
    </w:r>
    <w:r w:rsidRPr="005037A9">
      <w:rPr>
        <w:rStyle w:val="PageNumber"/>
        <w:color w:val="767171" w:themeColor="background2" w:themeShade="80"/>
        <w:sz w:val="21"/>
      </w:rPr>
      <w:fldChar w:fldCharType="end"/>
    </w:r>
  </w:p>
  <w:p w14:paraId="586DD308" w14:textId="341AEC6B" w:rsidR="005037A9" w:rsidRPr="005037A9" w:rsidRDefault="005037A9" w:rsidP="006C3682">
    <w:pPr>
      <w:pStyle w:val="Footer"/>
      <w:ind w:right="360"/>
      <w:rPr>
        <w:color w:val="767171" w:themeColor="background2" w:themeShade="80"/>
        <w:sz w:val="21"/>
      </w:rPr>
    </w:pPr>
    <w:r w:rsidRPr="005037A9">
      <w:rPr>
        <w:color w:val="767171" w:themeColor="background2" w:themeShade="80"/>
        <w:sz w:val="21"/>
      </w:rPr>
      <w:t xml:space="preserve">[Name of your community] </w:t>
    </w:r>
    <w:r w:rsidR="00EF6D31">
      <w:rPr>
        <w:color w:val="767171" w:themeColor="background2" w:themeShade="80"/>
        <w:sz w:val="21"/>
      </w:rPr>
      <w:t xml:space="preserve">User Fee </w:t>
    </w:r>
    <w:r w:rsidR="007C6D07">
      <w:rPr>
        <w:color w:val="767171" w:themeColor="background2" w:themeShade="80"/>
        <w:sz w:val="21"/>
      </w:rPr>
      <w:t>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C9313" w14:textId="77777777" w:rsidR="00C4651E" w:rsidRDefault="00C4651E" w:rsidP="00555C24">
      <w:pPr>
        <w:spacing w:after="0" w:line="240" w:lineRule="auto"/>
      </w:pPr>
      <w:r>
        <w:separator/>
      </w:r>
    </w:p>
  </w:footnote>
  <w:footnote w:type="continuationSeparator" w:id="0">
    <w:p w14:paraId="403D9DF1" w14:textId="77777777" w:rsidR="00C4651E" w:rsidRDefault="00C4651E" w:rsidP="0055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AC079" w14:textId="619B47F4" w:rsidR="000B428A" w:rsidRDefault="00555C24">
    <w:pPr>
      <w:pStyle w:val="Header"/>
    </w:pPr>
    <w:r w:rsidRPr="00FD609E">
      <w:rPr>
        <w:rFonts w:cs="Arial"/>
        <w:color w:val="AEAAAA" w:themeColor="background2" w:themeShade="BF"/>
        <w:sz w:val="20"/>
      </w:rPr>
      <w:t>GFOA Policy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F79"/>
    <w:multiLevelType w:val="hybridMultilevel"/>
    <w:tmpl w:val="ADA6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24C2"/>
    <w:multiLevelType w:val="hybridMultilevel"/>
    <w:tmpl w:val="F312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401A"/>
    <w:multiLevelType w:val="hybridMultilevel"/>
    <w:tmpl w:val="30189776"/>
    <w:lvl w:ilvl="0" w:tplc="DEC4A3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449F"/>
    <w:multiLevelType w:val="hybridMultilevel"/>
    <w:tmpl w:val="87A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0D5"/>
    <w:multiLevelType w:val="hybridMultilevel"/>
    <w:tmpl w:val="C0DEB064"/>
    <w:lvl w:ilvl="0" w:tplc="59627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F16B4"/>
    <w:multiLevelType w:val="hybridMultilevel"/>
    <w:tmpl w:val="764A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4F14"/>
    <w:multiLevelType w:val="hybridMultilevel"/>
    <w:tmpl w:val="DB88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C151D"/>
    <w:multiLevelType w:val="hybridMultilevel"/>
    <w:tmpl w:val="6E06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964A4"/>
    <w:multiLevelType w:val="hybridMultilevel"/>
    <w:tmpl w:val="761A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C32F5"/>
    <w:multiLevelType w:val="hybridMultilevel"/>
    <w:tmpl w:val="E6D41772"/>
    <w:lvl w:ilvl="0" w:tplc="D904F0E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3148"/>
    <w:multiLevelType w:val="hybridMultilevel"/>
    <w:tmpl w:val="6F6C25D0"/>
    <w:lvl w:ilvl="0" w:tplc="C518C9E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8F"/>
    <w:rsid w:val="00020F08"/>
    <w:rsid w:val="00053DED"/>
    <w:rsid w:val="000B428A"/>
    <w:rsid w:val="001023C0"/>
    <w:rsid w:val="00111DB7"/>
    <w:rsid w:val="00117DC7"/>
    <w:rsid w:val="00185F54"/>
    <w:rsid w:val="00196A35"/>
    <w:rsid w:val="001B4C32"/>
    <w:rsid w:val="001E1446"/>
    <w:rsid w:val="001F0143"/>
    <w:rsid w:val="0028575C"/>
    <w:rsid w:val="002A23DF"/>
    <w:rsid w:val="002C3CA7"/>
    <w:rsid w:val="002F2160"/>
    <w:rsid w:val="00303D92"/>
    <w:rsid w:val="00336B0F"/>
    <w:rsid w:val="0036229E"/>
    <w:rsid w:val="00366E04"/>
    <w:rsid w:val="00371FCE"/>
    <w:rsid w:val="003A7A6A"/>
    <w:rsid w:val="003B53E9"/>
    <w:rsid w:val="003C723C"/>
    <w:rsid w:val="004030B6"/>
    <w:rsid w:val="004374AB"/>
    <w:rsid w:val="00450E38"/>
    <w:rsid w:val="00471E56"/>
    <w:rsid w:val="005037A9"/>
    <w:rsid w:val="00555C24"/>
    <w:rsid w:val="00570516"/>
    <w:rsid w:val="005A1668"/>
    <w:rsid w:val="005B7CE2"/>
    <w:rsid w:val="005D5EF1"/>
    <w:rsid w:val="00632162"/>
    <w:rsid w:val="006575AA"/>
    <w:rsid w:val="006619B0"/>
    <w:rsid w:val="006853F2"/>
    <w:rsid w:val="00693291"/>
    <w:rsid w:val="006C3682"/>
    <w:rsid w:val="00741CB7"/>
    <w:rsid w:val="00767C4E"/>
    <w:rsid w:val="00791739"/>
    <w:rsid w:val="007C6D07"/>
    <w:rsid w:val="00810D87"/>
    <w:rsid w:val="0081768F"/>
    <w:rsid w:val="00850430"/>
    <w:rsid w:val="00856651"/>
    <w:rsid w:val="008E3874"/>
    <w:rsid w:val="00914C85"/>
    <w:rsid w:val="009851AC"/>
    <w:rsid w:val="009A4A97"/>
    <w:rsid w:val="009F2196"/>
    <w:rsid w:val="00A1001D"/>
    <w:rsid w:val="00A61360"/>
    <w:rsid w:val="00AD7C5B"/>
    <w:rsid w:val="00B11DFB"/>
    <w:rsid w:val="00C1189E"/>
    <w:rsid w:val="00C275A4"/>
    <w:rsid w:val="00C4651E"/>
    <w:rsid w:val="00CA2A21"/>
    <w:rsid w:val="00CC23A0"/>
    <w:rsid w:val="00D25751"/>
    <w:rsid w:val="00D31B7A"/>
    <w:rsid w:val="00D32E24"/>
    <w:rsid w:val="00DB05B8"/>
    <w:rsid w:val="00DD4442"/>
    <w:rsid w:val="00E06AE1"/>
    <w:rsid w:val="00E87F29"/>
    <w:rsid w:val="00EA3428"/>
    <w:rsid w:val="00EB11B2"/>
    <w:rsid w:val="00EB18EF"/>
    <w:rsid w:val="00EB77F9"/>
    <w:rsid w:val="00EF5A26"/>
    <w:rsid w:val="00EF6D31"/>
    <w:rsid w:val="00F66932"/>
    <w:rsid w:val="00F76BEA"/>
    <w:rsid w:val="00FD609E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7E04"/>
  <w15:chartTrackingRefBased/>
  <w15:docId w15:val="{6C30F69B-AC81-4B93-B98E-2FED2F7A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C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C24"/>
  </w:style>
  <w:style w:type="paragraph" w:styleId="Footer">
    <w:name w:val="footer"/>
    <w:basedOn w:val="Normal"/>
    <w:link w:val="FooterChar"/>
    <w:uiPriority w:val="99"/>
    <w:unhideWhenUsed/>
    <w:rsid w:val="00555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C24"/>
  </w:style>
  <w:style w:type="character" w:customStyle="1" w:styleId="Heading1Char">
    <w:name w:val="Heading 1 Char"/>
    <w:basedOn w:val="DefaultParagraphFont"/>
    <w:link w:val="Heading1"/>
    <w:uiPriority w:val="9"/>
    <w:rsid w:val="00555C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5C2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23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5037A9"/>
  </w:style>
  <w:style w:type="paragraph" w:styleId="BalloonText">
    <w:name w:val="Balloon Text"/>
    <w:basedOn w:val="Normal"/>
    <w:link w:val="BalloonTextChar"/>
    <w:uiPriority w:val="99"/>
    <w:semiHidden/>
    <w:unhideWhenUsed/>
    <w:rsid w:val="00810D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D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GFOA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Kavanagh</dc:creator>
  <cp:keywords/>
  <dc:description/>
  <cp:lastModifiedBy>Shayne Kavanagh</cp:lastModifiedBy>
  <cp:revision>33</cp:revision>
  <dcterms:created xsi:type="dcterms:W3CDTF">2020-02-18T21:42:00Z</dcterms:created>
  <dcterms:modified xsi:type="dcterms:W3CDTF">2020-02-23T23:07:00Z</dcterms:modified>
</cp:coreProperties>
</file>