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EA2D2" w14:textId="65B5DF32" w:rsidR="00CC23A0" w:rsidRPr="00FD609E" w:rsidRDefault="00EB18EF" w:rsidP="007C6D07">
      <w:pPr>
        <w:pStyle w:val="Title"/>
        <w:spacing w:line="216" w:lineRule="auto"/>
        <w:rPr>
          <w:rFonts w:ascii="Impact" w:hAnsi="Impact"/>
          <w:b/>
          <w:color w:val="365DA5"/>
          <w:sz w:val="52"/>
        </w:rPr>
      </w:pPr>
      <w:bookmarkStart w:id="0" w:name="_GoBack"/>
      <w:bookmarkEnd w:id="0"/>
      <w:r>
        <w:rPr>
          <w:b/>
          <w:noProof/>
          <w:color w:val="365DA5"/>
        </w:rPr>
        <w:drawing>
          <wp:anchor distT="0" distB="0" distL="114300" distR="114300" simplePos="0" relativeHeight="251659264" behindDoc="0" locked="0" layoutInCell="1" allowOverlap="1" wp14:anchorId="3642954D" wp14:editId="084EB1EF">
            <wp:simplePos x="0" y="0"/>
            <wp:positionH relativeFrom="column">
              <wp:posOffset>5052060</wp:posOffset>
            </wp:positionH>
            <wp:positionV relativeFrom="paragraph">
              <wp:posOffset>4445</wp:posOffset>
            </wp:positionV>
            <wp:extent cx="1398905" cy="274320"/>
            <wp:effectExtent l="0" t="0" r="0" b="0"/>
            <wp:wrapThrough wrapText="bothSides">
              <wp:wrapPolygon edited="0">
                <wp:start x="0" y="0"/>
                <wp:lineTo x="0" y="18000"/>
                <wp:lineTo x="21178" y="18000"/>
                <wp:lineTo x="2117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28A">
        <w:rPr>
          <w:rFonts w:ascii="Impact" w:hAnsi="Impact"/>
          <w:b/>
          <w:noProof/>
          <w:color w:val="365DA5"/>
          <w:sz w:val="52"/>
        </w:rPr>
        <w:drawing>
          <wp:anchor distT="0" distB="0" distL="114300" distR="114300" simplePos="0" relativeHeight="251658240" behindDoc="0" locked="0" layoutInCell="1" allowOverlap="1" wp14:anchorId="254CC105" wp14:editId="0C959B76">
            <wp:simplePos x="0" y="0"/>
            <wp:positionH relativeFrom="column">
              <wp:posOffset>4286250</wp:posOffset>
            </wp:positionH>
            <wp:positionV relativeFrom="page">
              <wp:posOffset>116840</wp:posOffset>
            </wp:positionV>
            <wp:extent cx="2409825" cy="3781425"/>
            <wp:effectExtent l="0" t="0" r="317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Fgraph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1B2">
        <w:rPr>
          <w:rFonts w:ascii="Impact" w:hAnsi="Impact"/>
          <w:b/>
          <w:color w:val="365DA5"/>
          <w:sz w:val="52"/>
        </w:rPr>
        <w:t xml:space="preserve">LONG-TERM PLANNING AND FORECASTING </w:t>
      </w:r>
      <w:r w:rsidR="00FD609E" w:rsidRPr="00FD609E">
        <w:rPr>
          <w:rFonts w:ascii="Impact" w:hAnsi="Impact"/>
          <w:b/>
          <w:color w:val="365DA5"/>
          <w:sz w:val="52"/>
        </w:rPr>
        <w:t>POLICY</w:t>
      </w:r>
    </w:p>
    <w:p w14:paraId="7BAD677A" w14:textId="54456937" w:rsidR="007C6D07" w:rsidRPr="00C97A79" w:rsidRDefault="007C6D07" w:rsidP="007C6D07">
      <w:pPr>
        <w:spacing w:before="120"/>
        <w:rPr>
          <w:i/>
          <w:color w:val="767171" w:themeColor="background2" w:themeShade="80"/>
        </w:rPr>
      </w:pPr>
      <w:r w:rsidRPr="00C97A79">
        <w:rPr>
          <w:i/>
          <w:color w:val="767171" w:themeColor="background2" w:themeShade="80"/>
        </w:rPr>
        <w:t xml:space="preserve">This template provides the </w:t>
      </w:r>
      <w:r w:rsidR="00040F17">
        <w:rPr>
          <w:i/>
          <w:color w:val="767171" w:themeColor="background2" w:themeShade="80"/>
        </w:rPr>
        <w:t>basic</w:t>
      </w:r>
      <w:r w:rsidR="002C1DA9">
        <w:rPr>
          <w:i/>
          <w:color w:val="767171" w:themeColor="background2" w:themeShade="80"/>
        </w:rPr>
        <w:t>s</w:t>
      </w:r>
      <w:r w:rsidRPr="00C97A79">
        <w:rPr>
          <w:i/>
          <w:color w:val="767171" w:themeColor="background2" w:themeShade="80"/>
        </w:rPr>
        <w:t xml:space="preserve"> of a long-term planning and forecasting policy. You should </w:t>
      </w:r>
      <w:r w:rsidR="004006C3">
        <w:rPr>
          <w:i/>
          <w:color w:val="767171" w:themeColor="background2" w:themeShade="80"/>
        </w:rPr>
        <w:t>adjust</w:t>
      </w:r>
      <w:r w:rsidR="00040F17" w:rsidRPr="00C97A79">
        <w:rPr>
          <w:i/>
          <w:color w:val="767171" w:themeColor="background2" w:themeShade="80"/>
        </w:rPr>
        <w:t xml:space="preserve"> </w:t>
      </w:r>
      <w:r w:rsidRPr="00C97A79">
        <w:rPr>
          <w:i/>
          <w:color w:val="767171" w:themeColor="background2" w:themeShade="80"/>
        </w:rPr>
        <w:t>this policy to fit your government</w:t>
      </w:r>
      <w:r w:rsidR="00040F17">
        <w:rPr>
          <w:i/>
          <w:color w:val="767171" w:themeColor="background2" w:themeShade="80"/>
        </w:rPr>
        <w:t>’s needs</w:t>
      </w:r>
      <w:r w:rsidRPr="00C97A79">
        <w:rPr>
          <w:i/>
          <w:color w:val="767171" w:themeColor="background2" w:themeShade="80"/>
        </w:rPr>
        <w:t xml:space="preserve">. </w:t>
      </w:r>
      <w:r w:rsidR="008604FB">
        <w:rPr>
          <w:i/>
          <w:color w:val="7F7F7F" w:themeColor="text1" w:themeTint="80"/>
        </w:rPr>
        <w:t xml:space="preserve">For further guidance, refer to </w:t>
      </w:r>
      <w:r w:rsidRPr="00C97A79">
        <w:rPr>
          <w:i/>
          <w:color w:val="767171" w:themeColor="background2" w:themeShade="80"/>
        </w:rPr>
        <w:t>the GFOA book “Financial Policies</w:t>
      </w:r>
      <w:r w:rsidR="00040F17">
        <w:rPr>
          <w:i/>
          <w:color w:val="767171" w:themeColor="background2" w:themeShade="80"/>
        </w:rPr>
        <w:t>.</w:t>
      </w:r>
      <w:r w:rsidRPr="00C97A79">
        <w:rPr>
          <w:i/>
          <w:color w:val="767171" w:themeColor="background2" w:themeShade="80"/>
        </w:rPr>
        <w:t xml:space="preserve">” The book describes </w:t>
      </w:r>
      <w:r w:rsidR="00040F17">
        <w:rPr>
          <w:i/>
          <w:color w:val="767171" w:themeColor="background2" w:themeShade="80"/>
        </w:rPr>
        <w:t xml:space="preserve">the </w:t>
      </w:r>
      <w:r w:rsidR="002C1DA9">
        <w:rPr>
          <w:i/>
          <w:color w:val="767171" w:themeColor="background2" w:themeShade="80"/>
        </w:rPr>
        <w:t>elements</w:t>
      </w:r>
      <w:r w:rsidRPr="00C97A79">
        <w:rPr>
          <w:i/>
          <w:color w:val="767171" w:themeColor="background2" w:themeShade="80"/>
        </w:rPr>
        <w:t xml:space="preserve"> in this template</w:t>
      </w:r>
      <w:r w:rsidR="00040F17">
        <w:rPr>
          <w:i/>
          <w:color w:val="767171" w:themeColor="background2" w:themeShade="80"/>
        </w:rPr>
        <w:t xml:space="preserve"> </w:t>
      </w:r>
      <w:r w:rsidR="006C571B">
        <w:rPr>
          <w:i/>
          <w:color w:val="7F7F7F" w:themeColor="text1" w:themeTint="80"/>
        </w:rPr>
        <w:t>plus additional options</w:t>
      </w:r>
      <w:r w:rsidRPr="00C97A79">
        <w:rPr>
          <w:i/>
          <w:color w:val="767171" w:themeColor="background2" w:themeShade="80"/>
        </w:rPr>
        <w:t>.</w:t>
      </w:r>
    </w:p>
    <w:p w14:paraId="23153844" w14:textId="1C8EC966" w:rsidR="007C6D07" w:rsidRPr="00C97A79" w:rsidRDefault="007C6D07" w:rsidP="007C6D07">
      <w:pPr>
        <w:pStyle w:val="Heading1"/>
        <w:rPr>
          <w:rFonts w:asciiTheme="minorHAnsi" w:hAnsiTheme="minorHAnsi"/>
          <w:b/>
          <w:color w:val="365DA5"/>
        </w:rPr>
      </w:pPr>
      <w:r w:rsidRPr="00C97A79">
        <w:rPr>
          <w:rFonts w:asciiTheme="minorHAnsi" w:hAnsiTheme="minorHAnsi"/>
          <w:b/>
          <w:color w:val="365DA5"/>
        </w:rPr>
        <w:t xml:space="preserve">Why a Policy on Long-Term Planning and Forecasting </w:t>
      </w:r>
      <w:r w:rsidR="009B2A35">
        <w:rPr>
          <w:rFonts w:asciiTheme="minorHAnsi" w:hAnsiTheme="minorHAnsi"/>
          <w:b/>
          <w:color w:val="365DA5"/>
        </w:rPr>
        <w:t>I</w:t>
      </w:r>
      <w:r w:rsidR="009B2A35" w:rsidRPr="00C97A79">
        <w:rPr>
          <w:rFonts w:asciiTheme="minorHAnsi" w:hAnsiTheme="minorHAnsi"/>
          <w:b/>
          <w:color w:val="365DA5"/>
        </w:rPr>
        <w:t xml:space="preserve">s </w:t>
      </w:r>
      <w:r w:rsidRPr="00C97A79">
        <w:rPr>
          <w:rFonts w:asciiTheme="minorHAnsi" w:hAnsiTheme="minorHAnsi"/>
          <w:b/>
          <w:color w:val="365DA5"/>
        </w:rPr>
        <w:t>Important</w:t>
      </w:r>
    </w:p>
    <w:p w14:paraId="001C3DAF" w14:textId="46388F12" w:rsidR="007C6D07" w:rsidRDefault="007C6D07" w:rsidP="007C6D07">
      <w:r>
        <w:t>[</w:t>
      </w:r>
      <w:r w:rsidR="00230D2F">
        <w:t xml:space="preserve">Name </w:t>
      </w:r>
      <w:r>
        <w:t xml:space="preserve">of your government] passes an annual budget. A balanced budget is critical, but it only looks one year into the future. A thriving community requires a long-term perspective because financial challenges are often created over many years and can take more than </w:t>
      </w:r>
      <w:r w:rsidR="003F2868">
        <w:t xml:space="preserve">a </w:t>
      </w:r>
      <w:r>
        <w:t xml:space="preserve">year to solve. A long-term financial plan and budget allows [name of your government] to remain mindful of its long-term financial health. This gives us the best chance of </w:t>
      </w:r>
      <w:r w:rsidR="00006221">
        <w:t xml:space="preserve">a </w:t>
      </w:r>
      <w:r>
        <w:t>thriving community now and for future generations.</w:t>
      </w:r>
    </w:p>
    <w:p w14:paraId="5676FFCC" w14:textId="77777777" w:rsidR="007C6D07" w:rsidRPr="00C97A79" w:rsidRDefault="007C6D07" w:rsidP="007C6D07">
      <w:pPr>
        <w:pStyle w:val="Heading1"/>
        <w:rPr>
          <w:rFonts w:asciiTheme="minorHAnsi" w:hAnsiTheme="minorHAnsi"/>
          <w:b/>
          <w:color w:val="365DA5"/>
        </w:rPr>
      </w:pPr>
      <w:r w:rsidRPr="00C97A79">
        <w:rPr>
          <w:rFonts w:asciiTheme="minorHAnsi" w:hAnsiTheme="minorHAnsi"/>
          <w:b/>
          <w:color w:val="365DA5"/>
        </w:rPr>
        <w:t>Length of the Forecast</w:t>
      </w:r>
    </w:p>
    <w:p w14:paraId="2E4008CF" w14:textId="7253207E" w:rsidR="007C6D07" w:rsidRDefault="007C6D07" w:rsidP="007C6D07">
      <w:r>
        <w:t>[</w:t>
      </w:r>
      <w:r w:rsidR="00230D2F">
        <w:t xml:space="preserve">Name </w:t>
      </w:r>
      <w:r>
        <w:t xml:space="preserve">of your government] will forecast revenues, </w:t>
      </w:r>
      <w:r w:rsidR="00DC4256">
        <w:t>expenses</w:t>
      </w:r>
      <w:r>
        <w:t xml:space="preserve">, and financial position at least five years into the future. The length of the forecast should be longer if five years is not </w:t>
      </w:r>
      <w:r w:rsidR="00A96BDD">
        <w:t xml:space="preserve">enough </w:t>
      </w:r>
      <w:r>
        <w:t xml:space="preserve">to address issues that are </w:t>
      </w:r>
      <w:r w:rsidR="00C71A1D">
        <w:t>a</w:t>
      </w:r>
      <w:r>
        <w:t xml:space="preserve"> threat</w:t>
      </w:r>
      <w:r w:rsidR="00C71A1D">
        <w:t xml:space="preserve"> to</w:t>
      </w:r>
      <w:r>
        <w:t xml:space="preserve"> the financial health of [name of your government].</w:t>
      </w:r>
    </w:p>
    <w:p w14:paraId="699EAAF0" w14:textId="77777777" w:rsidR="007C6D07" w:rsidRPr="00C97A79" w:rsidRDefault="007C6D07" w:rsidP="007C6D07">
      <w:pPr>
        <w:pStyle w:val="Heading1"/>
        <w:rPr>
          <w:rFonts w:asciiTheme="minorHAnsi" w:hAnsiTheme="minorHAnsi"/>
          <w:b/>
          <w:color w:val="365DA5"/>
        </w:rPr>
      </w:pPr>
      <w:r w:rsidRPr="00C97A79">
        <w:rPr>
          <w:rFonts w:asciiTheme="minorHAnsi" w:hAnsiTheme="minorHAnsi"/>
          <w:b/>
          <w:color w:val="365DA5"/>
        </w:rPr>
        <w:t>Frequency of Forecasting</w:t>
      </w:r>
    </w:p>
    <w:p w14:paraId="0710ACCE" w14:textId="1096AB6E" w:rsidR="007C6D07" w:rsidRDefault="007C6D07" w:rsidP="007C6D07">
      <w:r>
        <w:t xml:space="preserve">The long-term financial forecast will be updated at least twice </w:t>
      </w:r>
      <w:r w:rsidR="002F1A1F">
        <w:t>a year</w:t>
      </w:r>
      <w:r>
        <w:t xml:space="preserve">. It will be updated before the budget process to inform decision-makers of [name of your government]’s financial position going into budget discussions. It will also be updated after the budget has been </w:t>
      </w:r>
      <w:r w:rsidR="00E53896">
        <w:t>created</w:t>
      </w:r>
      <w:r>
        <w:t xml:space="preserve"> to show decision-makers how [name of your government]</w:t>
      </w:r>
      <w:r w:rsidR="00E53896">
        <w:t>’s</w:t>
      </w:r>
      <w:r>
        <w:t xml:space="preserve"> financial </w:t>
      </w:r>
      <w:r w:rsidR="00E53896">
        <w:t xml:space="preserve">path </w:t>
      </w:r>
      <w:r>
        <w:t>has changed as result of the decisions made.</w:t>
      </w:r>
    </w:p>
    <w:p w14:paraId="25C218BB" w14:textId="77777777" w:rsidR="007C6D07" w:rsidRPr="00C97A79" w:rsidRDefault="007C6D07" w:rsidP="007C6D07">
      <w:pPr>
        <w:pStyle w:val="Heading1"/>
        <w:rPr>
          <w:rFonts w:asciiTheme="minorHAnsi" w:hAnsiTheme="minorHAnsi"/>
          <w:b/>
          <w:color w:val="365DA5"/>
        </w:rPr>
      </w:pPr>
      <w:r w:rsidRPr="00C97A79">
        <w:rPr>
          <w:rFonts w:asciiTheme="minorHAnsi" w:hAnsiTheme="minorHAnsi"/>
          <w:b/>
          <w:color w:val="365DA5"/>
        </w:rPr>
        <w:t>Scope of the Forecast</w:t>
      </w:r>
    </w:p>
    <w:p w14:paraId="223B72C3" w14:textId="22E6C633" w:rsidR="007C6D07" w:rsidRDefault="007C6D07" w:rsidP="007C6D07">
      <w:r>
        <w:t xml:space="preserve">The long-term financial forecast </w:t>
      </w:r>
      <w:r w:rsidR="0089200C">
        <w:t xml:space="preserve">will </w:t>
      </w:r>
      <w:r>
        <w:t>include [</w:t>
      </w:r>
      <w:r w:rsidRPr="00BF6A2B">
        <w:rPr>
          <w:i/>
        </w:rPr>
        <w:t xml:space="preserve">select which funds to include in the policy. At a minimum, you should forecast the general fund but should </w:t>
      </w:r>
      <w:r w:rsidR="003F2868">
        <w:rPr>
          <w:i/>
        </w:rPr>
        <w:t>consider</w:t>
      </w:r>
      <w:r w:rsidRPr="00BF6A2B">
        <w:rPr>
          <w:i/>
        </w:rPr>
        <w:t xml:space="preserve"> including other funds that have a </w:t>
      </w:r>
      <w:r w:rsidR="0089200C">
        <w:rPr>
          <w:i/>
        </w:rPr>
        <w:t>major</w:t>
      </w:r>
      <w:r w:rsidR="0089200C" w:rsidRPr="00BF6A2B">
        <w:rPr>
          <w:i/>
        </w:rPr>
        <w:t xml:space="preserve"> </w:t>
      </w:r>
      <w:r w:rsidRPr="00BF6A2B">
        <w:rPr>
          <w:i/>
        </w:rPr>
        <w:t xml:space="preserve">impact on your finances. For example, transportation or IT investments require a multiyear perspective, so it would be </w:t>
      </w:r>
      <w:r w:rsidR="004B65B0">
        <w:rPr>
          <w:i/>
        </w:rPr>
        <w:t>wise</w:t>
      </w:r>
      <w:r w:rsidR="004B65B0" w:rsidRPr="00BF6A2B">
        <w:rPr>
          <w:i/>
        </w:rPr>
        <w:t xml:space="preserve"> </w:t>
      </w:r>
      <w:r w:rsidRPr="00BF6A2B">
        <w:rPr>
          <w:i/>
        </w:rPr>
        <w:t>to require long-term forecasts for these funds in the policy</w:t>
      </w:r>
      <w:r>
        <w:t>].</w:t>
      </w:r>
    </w:p>
    <w:p w14:paraId="5DAE587D" w14:textId="77777777" w:rsidR="007C6D07" w:rsidRPr="00C97A79" w:rsidRDefault="007C6D07" w:rsidP="007C6D07">
      <w:pPr>
        <w:pStyle w:val="Heading1"/>
        <w:rPr>
          <w:rFonts w:asciiTheme="minorHAnsi" w:hAnsiTheme="minorHAnsi"/>
          <w:b/>
          <w:color w:val="365DA5"/>
        </w:rPr>
      </w:pPr>
      <w:r w:rsidRPr="00C97A79">
        <w:rPr>
          <w:rFonts w:asciiTheme="minorHAnsi" w:hAnsiTheme="minorHAnsi"/>
          <w:b/>
          <w:color w:val="365DA5"/>
        </w:rPr>
        <w:t>Assumptions and Analysis</w:t>
      </w:r>
    </w:p>
    <w:p w14:paraId="04858F5A" w14:textId="16751E75" w:rsidR="007C6D07" w:rsidRDefault="007C6D07" w:rsidP="007C6D07">
      <w:r>
        <w:t>[</w:t>
      </w:r>
      <w:r w:rsidR="00230D2F">
        <w:t xml:space="preserve">Name </w:t>
      </w:r>
      <w:r>
        <w:t xml:space="preserve">of your government] staff will prepare a forecast that is based on assumptions that best reflect the status quo condition of [name of your government]. The forecast </w:t>
      </w:r>
      <w:r w:rsidR="00EA422B">
        <w:t xml:space="preserve">will </w:t>
      </w:r>
      <w:r>
        <w:t xml:space="preserve">not assume any major changes in policy where such change is speculative. Other assumptions behind the forecast </w:t>
      </w:r>
      <w:r w:rsidR="00964629">
        <w:t xml:space="preserve">will </w:t>
      </w:r>
      <w:r>
        <w:t xml:space="preserve">be made clear. This includes assumed growth rates in revenues and </w:t>
      </w:r>
      <w:r w:rsidR="00DC4256">
        <w:t>expenses</w:t>
      </w:r>
      <w:r>
        <w:t xml:space="preserve">. It also includes assumptions about forces that impact revenues and </w:t>
      </w:r>
      <w:r w:rsidR="00DC4256">
        <w:t>expenses</w:t>
      </w:r>
      <w:r>
        <w:t>. Examples might include changes in population, property values, etc.</w:t>
      </w:r>
    </w:p>
    <w:p w14:paraId="12D91E4E" w14:textId="77777777" w:rsidR="007C6D07" w:rsidRPr="00C97A79" w:rsidRDefault="007C6D07" w:rsidP="007C6D07">
      <w:pPr>
        <w:pStyle w:val="Heading1"/>
        <w:rPr>
          <w:rFonts w:asciiTheme="minorHAnsi" w:hAnsiTheme="minorHAnsi"/>
          <w:b/>
          <w:color w:val="365DA5"/>
        </w:rPr>
      </w:pPr>
      <w:r w:rsidRPr="00C97A79">
        <w:rPr>
          <w:rFonts w:asciiTheme="minorHAnsi" w:hAnsiTheme="minorHAnsi"/>
          <w:b/>
          <w:color w:val="365DA5"/>
        </w:rPr>
        <w:lastRenderedPageBreak/>
        <w:t>Long-Term Financial Plan</w:t>
      </w:r>
    </w:p>
    <w:p w14:paraId="2E6C4910" w14:textId="3D3F4551" w:rsidR="007C6D07" w:rsidRDefault="007C6D07" w:rsidP="007C6D07">
      <w:r>
        <w:t xml:space="preserve">The goal of [name of your government] is for the forecast to be balanced over </w:t>
      </w:r>
      <w:r w:rsidR="002032AA">
        <w:t xml:space="preserve">the </w:t>
      </w:r>
      <w:r>
        <w:t>time period of the forecast. Therefore, [name of your government] will maintain a long-term financial plan that describes how [name of your government] will achieve and/or maintain balance over a multiyear period.</w:t>
      </w:r>
    </w:p>
    <w:p w14:paraId="2F8BE7EA" w14:textId="77777777" w:rsidR="00555C24" w:rsidRPr="00555C24" w:rsidRDefault="00555C24" w:rsidP="00555C24"/>
    <w:sectPr w:rsidR="00555C24" w:rsidRPr="00555C24" w:rsidSect="006C3682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6D3CD" w14:textId="77777777" w:rsidR="00FB61F4" w:rsidRDefault="00FB61F4" w:rsidP="00555C24">
      <w:pPr>
        <w:spacing w:after="0" w:line="240" w:lineRule="auto"/>
      </w:pPr>
      <w:r>
        <w:separator/>
      </w:r>
    </w:p>
  </w:endnote>
  <w:endnote w:type="continuationSeparator" w:id="0">
    <w:p w14:paraId="4CB288DA" w14:textId="77777777" w:rsidR="00FB61F4" w:rsidRDefault="00FB61F4" w:rsidP="0055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89AD7" w14:textId="77777777" w:rsidR="005037A9" w:rsidRDefault="005037A9" w:rsidP="003373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34ECA" w14:textId="77777777" w:rsidR="005037A9" w:rsidRDefault="005037A9" w:rsidP="005037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70C0E" w14:textId="4A3F1DCA" w:rsidR="005037A9" w:rsidRPr="005037A9" w:rsidRDefault="005037A9" w:rsidP="006C3682">
    <w:pPr>
      <w:pStyle w:val="Footer"/>
      <w:framePr w:wrap="none" w:vAnchor="text" w:hAnchor="margin" w:xAlign="right" w:y="1"/>
      <w:rPr>
        <w:rStyle w:val="PageNumber"/>
        <w:color w:val="767171" w:themeColor="background2" w:themeShade="80"/>
        <w:sz w:val="21"/>
      </w:rPr>
    </w:pPr>
    <w:r w:rsidRPr="005037A9">
      <w:rPr>
        <w:rStyle w:val="PageNumber"/>
        <w:color w:val="767171" w:themeColor="background2" w:themeShade="80"/>
        <w:sz w:val="21"/>
      </w:rPr>
      <w:fldChar w:fldCharType="begin"/>
    </w:r>
    <w:r w:rsidRPr="005037A9">
      <w:rPr>
        <w:rStyle w:val="PageNumber"/>
        <w:color w:val="767171" w:themeColor="background2" w:themeShade="80"/>
        <w:sz w:val="21"/>
      </w:rPr>
      <w:instrText xml:space="preserve">PAGE  </w:instrText>
    </w:r>
    <w:r w:rsidRPr="005037A9">
      <w:rPr>
        <w:rStyle w:val="PageNumber"/>
        <w:color w:val="767171" w:themeColor="background2" w:themeShade="80"/>
        <w:sz w:val="21"/>
      </w:rPr>
      <w:fldChar w:fldCharType="separate"/>
    </w:r>
    <w:r w:rsidR="00250891">
      <w:rPr>
        <w:rStyle w:val="PageNumber"/>
        <w:noProof/>
        <w:color w:val="767171" w:themeColor="background2" w:themeShade="80"/>
        <w:sz w:val="21"/>
      </w:rPr>
      <w:t>1</w:t>
    </w:r>
    <w:r w:rsidRPr="005037A9">
      <w:rPr>
        <w:rStyle w:val="PageNumber"/>
        <w:color w:val="767171" w:themeColor="background2" w:themeShade="80"/>
        <w:sz w:val="21"/>
      </w:rPr>
      <w:fldChar w:fldCharType="end"/>
    </w:r>
  </w:p>
  <w:p w14:paraId="586DD308" w14:textId="641BB668" w:rsidR="005037A9" w:rsidRPr="005037A9" w:rsidRDefault="005037A9" w:rsidP="006C3682">
    <w:pPr>
      <w:pStyle w:val="Footer"/>
      <w:ind w:right="360"/>
      <w:rPr>
        <w:color w:val="767171" w:themeColor="background2" w:themeShade="80"/>
        <w:sz w:val="21"/>
      </w:rPr>
    </w:pPr>
    <w:r w:rsidRPr="005037A9">
      <w:rPr>
        <w:color w:val="767171" w:themeColor="background2" w:themeShade="80"/>
        <w:sz w:val="21"/>
      </w:rPr>
      <w:t xml:space="preserve">[Name of your community] </w:t>
    </w:r>
    <w:r w:rsidR="007C6D07">
      <w:rPr>
        <w:color w:val="767171" w:themeColor="background2" w:themeShade="80"/>
        <w:sz w:val="21"/>
      </w:rPr>
      <w:t>Long-Term Planning and Forecasting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15C75" w14:textId="77777777" w:rsidR="00FB61F4" w:rsidRDefault="00FB61F4" w:rsidP="00555C24">
      <w:pPr>
        <w:spacing w:after="0" w:line="240" w:lineRule="auto"/>
      </w:pPr>
      <w:r>
        <w:separator/>
      </w:r>
    </w:p>
  </w:footnote>
  <w:footnote w:type="continuationSeparator" w:id="0">
    <w:p w14:paraId="7EE9201E" w14:textId="77777777" w:rsidR="00FB61F4" w:rsidRDefault="00FB61F4" w:rsidP="0055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AC079" w14:textId="619B47F4" w:rsidR="000B428A" w:rsidRDefault="00555C24">
    <w:pPr>
      <w:pStyle w:val="Header"/>
    </w:pPr>
    <w:r w:rsidRPr="00FD609E">
      <w:rPr>
        <w:rFonts w:cs="Arial"/>
        <w:color w:val="AEAAAA" w:themeColor="background2" w:themeShade="BF"/>
        <w:sz w:val="20"/>
      </w:rPr>
      <w:t>GFOA Policy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F79"/>
    <w:multiLevelType w:val="hybridMultilevel"/>
    <w:tmpl w:val="ADA6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01A"/>
    <w:multiLevelType w:val="hybridMultilevel"/>
    <w:tmpl w:val="30189776"/>
    <w:lvl w:ilvl="0" w:tplc="DEC4A3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449F"/>
    <w:multiLevelType w:val="hybridMultilevel"/>
    <w:tmpl w:val="87A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C60D5"/>
    <w:multiLevelType w:val="hybridMultilevel"/>
    <w:tmpl w:val="C0DEB064"/>
    <w:lvl w:ilvl="0" w:tplc="59627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F16B4"/>
    <w:multiLevelType w:val="hybridMultilevel"/>
    <w:tmpl w:val="764A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4F14"/>
    <w:multiLevelType w:val="hybridMultilevel"/>
    <w:tmpl w:val="DB88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C151D"/>
    <w:multiLevelType w:val="hybridMultilevel"/>
    <w:tmpl w:val="6E06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64A4"/>
    <w:multiLevelType w:val="hybridMultilevel"/>
    <w:tmpl w:val="761A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C32F5"/>
    <w:multiLevelType w:val="hybridMultilevel"/>
    <w:tmpl w:val="E6D41772"/>
    <w:lvl w:ilvl="0" w:tplc="D904F0E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F3148"/>
    <w:multiLevelType w:val="hybridMultilevel"/>
    <w:tmpl w:val="6F6C25D0"/>
    <w:lvl w:ilvl="0" w:tplc="C518C9E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8F"/>
    <w:rsid w:val="00006221"/>
    <w:rsid w:val="00040F17"/>
    <w:rsid w:val="00086A9A"/>
    <w:rsid w:val="000B428A"/>
    <w:rsid w:val="000C5C55"/>
    <w:rsid w:val="00117DC7"/>
    <w:rsid w:val="00185F54"/>
    <w:rsid w:val="00196A35"/>
    <w:rsid w:val="001F4F64"/>
    <w:rsid w:val="00200E61"/>
    <w:rsid w:val="002032AA"/>
    <w:rsid w:val="00210CFE"/>
    <w:rsid w:val="00225D54"/>
    <w:rsid w:val="00230D2F"/>
    <w:rsid w:val="00250891"/>
    <w:rsid w:val="002A5600"/>
    <w:rsid w:val="002C1DA9"/>
    <w:rsid w:val="002F1A1F"/>
    <w:rsid w:val="002F2160"/>
    <w:rsid w:val="003560A3"/>
    <w:rsid w:val="003A7A6A"/>
    <w:rsid w:val="003C58EE"/>
    <w:rsid w:val="003C723C"/>
    <w:rsid w:val="003F2868"/>
    <w:rsid w:val="004006C3"/>
    <w:rsid w:val="004A76C5"/>
    <w:rsid w:val="004B65B0"/>
    <w:rsid w:val="005037A9"/>
    <w:rsid w:val="00555C24"/>
    <w:rsid w:val="005A1668"/>
    <w:rsid w:val="005D5EF1"/>
    <w:rsid w:val="00635E5F"/>
    <w:rsid w:val="00693291"/>
    <w:rsid w:val="006A2DAD"/>
    <w:rsid w:val="006C3682"/>
    <w:rsid w:val="006C571B"/>
    <w:rsid w:val="007014AB"/>
    <w:rsid w:val="00767C4E"/>
    <w:rsid w:val="00791739"/>
    <w:rsid w:val="007C6D07"/>
    <w:rsid w:val="0081768F"/>
    <w:rsid w:val="00850FA5"/>
    <w:rsid w:val="008604FB"/>
    <w:rsid w:val="0089200C"/>
    <w:rsid w:val="00964629"/>
    <w:rsid w:val="009B2A35"/>
    <w:rsid w:val="009F2196"/>
    <w:rsid w:val="00A059EB"/>
    <w:rsid w:val="00A1001D"/>
    <w:rsid w:val="00A1657F"/>
    <w:rsid w:val="00A61360"/>
    <w:rsid w:val="00A96BDD"/>
    <w:rsid w:val="00AD7C5B"/>
    <w:rsid w:val="00AF7D41"/>
    <w:rsid w:val="00C37C6D"/>
    <w:rsid w:val="00C4180C"/>
    <w:rsid w:val="00C71A1D"/>
    <w:rsid w:val="00CC23A0"/>
    <w:rsid w:val="00D31B7A"/>
    <w:rsid w:val="00D32E24"/>
    <w:rsid w:val="00D74D88"/>
    <w:rsid w:val="00DC4256"/>
    <w:rsid w:val="00E0394B"/>
    <w:rsid w:val="00E53896"/>
    <w:rsid w:val="00EA3428"/>
    <w:rsid w:val="00EA422B"/>
    <w:rsid w:val="00EB11B2"/>
    <w:rsid w:val="00EB18EF"/>
    <w:rsid w:val="00ED08E8"/>
    <w:rsid w:val="00EF5A26"/>
    <w:rsid w:val="00F76BEA"/>
    <w:rsid w:val="00FB61F4"/>
    <w:rsid w:val="00FD609E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7E04"/>
  <w15:chartTrackingRefBased/>
  <w15:docId w15:val="{6C30F69B-AC81-4B93-B98E-2FED2F7A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24"/>
  </w:style>
  <w:style w:type="paragraph" w:styleId="Footer">
    <w:name w:val="footer"/>
    <w:basedOn w:val="Normal"/>
    <w:link w:val="FooterChar"/>
    <w:uiPriority w:val="99"/>
    <w:unhideWhenUsed/>
    <w:rsid w:val="00555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C24"/>
  </w:style>
  <w:style w:type="character" w:customStyle="1" w:styleId="Heading1Char">
    <w:name w:val="Heading 1 Char"/>
    <w:basedOn w:val="DefaultParagraphFont"/>
    <w:link w:val="Heading1"/>
    <w:uiPriority w:val="9"/>
    <w:rsid w:val="00555C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5C2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23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5037A9"/>
  </w:style>
  <w:style w:type="paragraph" w:styleId="BalloonText">
    <w:name w:val="Balloon Text"/>
    <w:basedOn w:val="Normal"/>
    <w:link w:val="BalloonTextChar"/>
    <w:uiPriority w:val="99"/>
    <w:semiHidden/>
    <w:unhideWhenUsed/>
    <w:rsid w:val="00210CF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F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GFOA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Kavanagh</dc:creator>
  <cp:keywords/>
  <dc:description/>
  <cp:lastModifiedBy>Shayne Kavanagh</cp:lastModifiedBy>
  <cp:revision>34</cp:revision>
  <dcterms:created xsi:type="dcterms:W3CDTF">2020-02-18T21:31:00Z</dcterms:created>
  <dcterms:modified xsi:type="dcterms:W3CDTF">2020-02-23T23:07:00Z</dcterms:modified>
</cp:coreProperties>
</file>